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pPr>
      <w:r>
        <w:rPr>
          <w:rFonts w:ascii="Arial" w:hAnsi="Arial"/>
          <w:b/>
          <w:color w:val="1F3864"/>
          <w:sz w:val="32"/>
          <w:highlight w:val="yellow"/>
        </w:rPr>
        <w:t>[Trust name]</w:t>
      </w:r>
    </w:p>
    <w:p>
      <w:r>
        <w:rPr>
          <w:rFonts w:ascii="Arial" w:hAnsi="Arial"/>
          <w:b/>
          <w:sz w:val="52"/>
        </w:rPr>
        <w:t>Business case: robot-assisted surgery programme</w:t>
      </w:r>
    </w:p>
    <w:p>
      <w:pPr>
        <w:spacing w:after="800"/>
      </w:pPr>
      <w:r>
        <w:rPr>
          <w:rFonts w:ascii="Arial" w:hAnsi="Arial"/>
          <w:b w:val="0"/>
          <w:color w:val="595959"/>
          <w:sz w:val="28"/>
        </w:rPr>
        <w:t>1 robot, Platform B: established multi-port (purchase)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513"/>
        <w:gridCol w:w="4513"/>
      </w:tblGrid>
      <w:tr>
        <w:tc>
          <w:tcPr>
            <w:tcW w:type="dxa" w:w="3005"/>
            <w:shd w:val="clear" w:color="auto" w:fill="F2F2F2"/>
          </w:tcPr>
          <w:p>
            <w:r>
              <w:rPr>
                <w:rFonts w:ascii="Arial" w:hAnsi="Arial"/>
                <w:b/>
                <w:sz w:val="22"/>
              </w:rPr>
              <w:t>Prepared by</w:t>
            </w:r>
          </w:p>
        </w:tc>
        <w:tc>
          <w:tcPr>
            <w:tcW w:type="dxa" w:w="6009"/>
          </w:tcPr>
          <w:p>
            <w:r>
              <w:rPr>
                <w:rFonts w:ascii="Arial" w:hAnsi="Arial"/>
                <w:b w:val="0"/>
                <w:sz w:val="22"/>
                <w:highlight w:val="yellow"/>
              </w:rPr>
              <w:t>[Name, role]</w:t>
            </w:r>
          </w:p>
        </w:tc>
      </w:tr>
      <w:tr>
        <w:tc>
          <w:tcPr>
            <w:tcW w:type="dxa" w:w="3005"/>
            <w:shd w:val="clear" w:color="auto" w:fill="F2F2F2"/>
          </w:tcPr>
          <w:p>
            <w:r>
              <w:rPr>
                <w:rFonts w:ascii="Arial" w:hAnsi="Arial"/>
                <w:b/>
                <w:sz w:val="22"/>
              </w:rPr>
              <w:t>Senior responsible owner</w:t>
            </w:r>
          </w:p>
        </w:tc>
        <w:tc>
          <w:tcPr>
            <w:tcW w:type="dxa" w:w="6009"/>
          </w:tcPr>
          <w:p>
            <w:r>
              <w:rPr>
                <w:rFonts w:ascii="Arial" w:hAnsi="Arial"/>
                <w:b w:val="0"/>
                <w:sz w:val="22"/>
                <w:highlight w:val="yellow"/>
              </w:rPr>
              <w:t>[Name, role]</w:t>
            </w:r>
          </w:p>
        </w:tc>
      </w:tr>
      <w:tr>
        <w:tc>
          <w:tcPr>
            <w:tcW w:type="dxa" w:w="3005"/>
            <w:shd w:val="clear" w:color="auto" w:fill="F2F2F2"/>
          </w:tcPr>
          <w:p>
            <w:r>
              <w:rPr>
                <w:rFonts w:ascii="Arial" w:hAnsi="Arial"/>
                <w:b/>
                <w:sz w:val="22"/>
              </w:rPr>
              <w:t>Clinical lead</w:t>
            </w:r>
          </w:p>
        </w:tc>
        <w:tc>
          <w:tcPr>
            <w:tcW w:type="dxa" w:w="6009"/>
          </w:tcPr>
          <w:p>
            <w:r>
              <w:rPr>
                <w:rFonts w:ascii="Arial" w:hAnsi="Arial"/>
                <w:b w:val="0"/>
                <w:sz w:val="22"/>
                <w:highlight w:val="yellow"/>
              </w:rPr>
              <w:t>[Name, role]</w:t>
            </w:r>
          </w:p>
        </w:tc>
      </w:tr>
      <w:tr>
        <w:tc>
          <w:tcPr>
            <w:tcW w:type="dxa" w:w="3005"/>
            <w:shd w:val="clear" w:color="auto" w:fill="F2F2F2"/>
          </w:tcPr>
          <w:p>
            <w:r>
              <w:rPr>
                <w:rFonts w:ascii="Arial" w:hAnsi="Arial"/>
                <w:b/>
                <w:sz w:val="22"/>
              </w:rPr>
              <w:t>Finance lead</w:t>
            </w:r>
          </w:p>
        </w:tc>
        <w:tc>
          <w:tcPr>
            <w:tcW w:type="dxa" w:w="6009"/>
          </w:tcPr>
          <w:p>
            <w:r>
              <w:rPr>
                <w:rFonts w:ascii="Arial" w:hAnsi="Arial"/>
                <w:b w:val="0"/>
                <w:sz w:val="22"/>
                <w:highlight w:val="yellow"/>
              </w:rPr>
              <w:t>[Name, role]</w:t>
            </w:r>
          </w:p>
        </w:tc>
      </w:tr>
      <w:tr>
        <w:tc>
          <w:tcPr>
            <w:tcW w:type="dxa" w:w="3005"/>
            <w:shd w:val="clear" w:color="auto" w:fill="F2F2F2"/>
          </w:tcPr>
          <w:p>
            <w:r>
              <w:rPr>
                <w:rFonts w:ascii="Arial" w:hAnsi="Arial"/>
                <w:b/>
                <w:sz w:val="22"/>
              </w:rPr>
              <w:t>Date</w:t>
            </w:r>
          </w:p>
        </w:tc>
        <w:tc>
          <w:tcPr>
            <w:tcW w:type="dxa" w:w="6009"/>
          </w:tcPr>
          <w:p>
            <w:r>
              <w:rPr>
                <w:rFonts w:ascii="Arial" w:hAnsi="Arial"/>
                <w:b w:val="0"/>
                <w:sz w:val="22"/>
              </w:rPr>
              <w:t>28 October 2026</w:t>
            </w:r>
          </w:p>
        </w:tc>
      </w:tr>
      <w:tr>
        <w:tc>
          <w:tcPr>
            <w:tcW w:type="dxa" w:w="3005"/>
            <w:shd w:val="clear" w:color="auto" w:fill="F2F2F2"/>
          </w:tcPr>
          <w:p>
            <w:r>
              <w:rPr>
                <w:rFonts w:ascii="Arial" w:hAnsi="Arial"/>
                <w:b/>
                <w:sz w:val="22"/>
              </w:rPr>
              <w:t>Version</w:t>
            </w:r>
          </w:p>
        </w:tc>
        <w:tc>
          <w:tcPr>
            <w:tcW w:type="dxa" w:w="6009"/>
          </w:tcPr>
          <w:p>
            <w:r>
              <w:rPr>
                <w:rFonts w:ascii="Arial" w:hAnsi="Arial"/>
                <w:b w:val="0"/>
                <w:sz w:val="22"/>
              </w:rPr>
              <w:t>Draft 0.1</w:t>
            </w:r>
          </w:p>
        </w:tc>
      </w:tr>
      <w:tr>
        <w:tc>
          <w:tcPr>
            <w:tcW w:type="dxa" w:w="3005"/>
            <w:shd w:val="clear" w:color="auto" w:fill="F2F2F2"/>
          </w:tcPr>
          <w:p>
            <w:r>
              <w:rPr>
                <w:rFonts w:ascii="Arial" w:hAnsi="Arial"/>
                <w:b/>
                <w:sz w:val="22"/>
              </w:rPr>
              <w:t>Status</w:t>
            </w:r>
          </w:p>
        </w:tc>
        <w:tc>
          <w:tcPr>
            <w:tcW w:type="dxa" w:w="6009"/>
          </w:tcPr>
          <w:p>
            <w:r>
              <w:rPr>
                <w:rFonts w:ascii="Arial" w:hAnsi="Arial"/>
                <w:b w:val="0"/>
                <w:sz w:val="22"/>
              </w:rPr>
              <w:t>Draft: assumptions awaiting specialty review</w:t>
            </w:r>
          </w:p>
        </w:tc>
      </w:tr>
    </w:tbl>
    <w:p>
      <w:pPr>
        <w:spacing w:before="800"/>
      </w:pPr>
      <w:r>
        <w:rPr>
          <w:rFonts w:ascii="Arial" w:hAnsi="Arial"/>
          <w:b w:val="0"/>
          <w:color w:val="595959"/>
          <w:sz w:val="18"/>
        </w:rPr>
        <w:t>DRAFT. Generated by the Robotic Programme Decision Tool, engine version 0.6.1. 53 of the 55 assumptions in the register (Appendix D) are placeholders, assumptions or only partly sourced, and none has yet been reviewed by the relevant specialty. The figures must not be used for approval until that review is complete.</w:t>
      </w:r>
    </w:p>
    <w:p>
      <w:r>
        <w:br w:type="page"/>
      </w:r>
    </w:p>
    <w:p>
      <w:pPr>
        <w:pStyle w:val="Heading1"/>
      </w:pPr>
      <w:r>
        <w:t>Contents</w:t>
      </w:r>
    </w:p>
    <w:p>
      <w:r>
        <w:fldChar w:fldCharType="begin"/>
      </w:r>
      <w:r>
        <w:instrText xml:space="preserve">TOC \o "1-2" \h \z \u</w:instrText>
      </w:r>
      <w:r>
        <w:fldChar w:fldCharType="separate"/>
      </w:r>
      <w:r>
        <w:fldChar w:fldCharType="end"/>
      </w:r>
    </w:p>
    <w:p>
      <w:r>
        <w:rPr>
          <w:rFonts w:ascii="Arial" w:hAnsi="Arial"/>
          <w:b w:val="0"/>
          <w:sz w:val="18"/>
          <w:highlight w:val="yellow"/>
        </w:rPr>
        <w:t>[Right-click and choose Update Field to show the contents.]</w:t>
      </w:r>
    </w:p>
    <w:p>
      <w:r>
        <w:br w:type="page"/>
      </w:r>
    </w:p>
    <w:p>
      <w:pPr>
        <w:pStyle w:val="Heading1"/>
      </w:pPr>
      <w:r>
        <w:t>1. Executive summary</w:t>
      </w:r>
    </w:p>
    <w:p>
      <w:r>
        <w:rPr>
          <w:rFonts w:ascii="Arial" w:hAnsi="Arial"/>
          <w:b w:val="0"/>
          <w:sz w:val="22"/>
        </w:rPr>
        <w:t xml:space="preserve">This business case seeks approval for a robot-assisted surgery programme at </w:t>
      </w:r>
      <w:r>
        <w:rPr>
          <w:rFonts w:ascii="Arial" w:hAnsi="Arial"/>
          <w:b w:val="0"/>
          <w:sz w:val="22"/>
          <w:highlight w:val="yellow"/>
        </w:rPr>
        <w:t>[Trust name]</w:t>
      </w:r>
      <w:r>
        <w:rPr>
          <w:rFonts w:ascii="Arial" w:hAnsi="Arial"/>
          <w:b w:val="0"/>
          <w:sz w:val="22"/>
        </w:rPr>
        <w:t>: 1 robot (Platform B), operating 18 of 18 available sessions per fortnight across 4 list types on the two-week theatre template.</w:t>
      </w:r>
    </w:p>
    <w:p>
      <w:r>
        <w:rPr>
          <w:rFonts w:ascii="Arial" w:hAnsi="Arial"/>
          <w:b w:val="0"/>
          <w:sz w:val="22"/>
        </w:rPr>
        <w:t>It is presented as an investment in quality, access and capacity, not as a cost-saving proposal. The case sets out first what the investment buys for patients, then what it costs per outcome, then the extra cost to the trust over five years, and the guardrails that keep spending efficient.</w:t>
      </w:r>
    </w:p>
    <w:p>
      <w:pPr>
        <w:pStyle w:val="Heading3"/>
      </w:pPr>
      <w:r>
        <w:t>What the programme delivers for patients each year (year 3, steady state)</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6500"/>
        <w:gridCol w:w="2526"/>
      </w:tblGrid>
      <w:tr>
        <w:trPr>
          <w:tblHeader w:val="true"/>
        </w:trPr>
        <w:tc>
          <w:tcPr>
            <w:tcW w:type="dxa" w:w="6499"/>
            <w:shd w:val="clear" w:color="auto" w:fill="1F3864"/>
          </w:tcPr>
          <w:p>
            <w:pPr>
              <w:spacing w:after="0" w:before="0"/>
            </w:pPr>
            <w:r/>
            <w:r>
              <w:rPr>
                <w:rFonts w:ascii="Arial" w:hAnsi="Arial"/>
                <w:b/>
                <w:color w:val="FFFFFF"/>
                <w:sz w:val="19"/>
              </w:rPr>
              <w:t>Patient consequence</w:t>
            </w:r>
          </w:p>
        </w:tc>
        <w:tc>
          <w:tcPr>
            <w:tcW w:type="dxa" w:w="2526"/>
            <w:shd w:val="clear" w:color="auto" w:fill="1F3864"/>
          </w:tcPr>
          <w:p>
            <w:pPr>
              <w:spacing w:after="0" w:before="0"/>
            </w:pPr>
            <w:r/>
            <w:r>
              <w:rPr>
                <w:rFonts w:ascii="Arial" w:hAnsi="Arial"/>
                <w:b/>
                <w:color w:val="FFFFFF"/>
                <w:sz w:val="19"/>
              </w:rPr>
              <w:t>Number per year</w:t>
            </w:r>
          </w:p>
        </w:tc>
      </w:tr>
      <w:tr>
        <w:tc>
          <w:tcPr>
            <w:tcW w:type="dxa" w:w="6499"/>
          </w:tcPr>
          <w:p>
            <w:pPr>
              <w:spacing w:after="0" w:before="0"/>
            </w:pPr>
            <w:r>
              <w:rPr>
                <w:rFonts w:ascii="Arial" w:hAnsi="Arial"/>
                <w:b w:val="0"/>
                <w:sz w:val="19"/>
              </w:rPr>
              <w:t>Robotic operations</w:t>
            </w:r>
          </w:p>
        </w:tc>
        <w:tc>
          <w:tcPr>
            <w:tcW w:type="dxa" w:w="2526"/>
          </w:tcPr>
          <w:p>
            <w:pPr>
              <w:spacing w:after="0" w:before="0"/>
            </w:pPr>
            <w:r>
              <w:rPr>
                <w:rFonts w:ascii="Arial" w:hAnsi="Arial"/>
                <w:b w:val="0"/>
                <w:sz w:val="19"/>
              </w:rPr>
              <w:t>410</w:t>
            </w:r>
          </w:p>
        </w:tc>
      </w:tr>
      <w:tr>
        <w:tc>
          <w:tcPr>
            <w:tcW w:type="dxa" w:w="6499"/>
            <w:shd w:val="clear" w:color="auto" w:fill="F2F2F2"/>
          </w:tcPr>
          <w:p>
            <w:pPr>
              <w:spacing w:after="0" w:before="0"/>
            </w:pPr>
            <w:r>
              <w:rPr>
                <w:rFonts w:ascii="Arial" w:hAnsi="Arial"/>
                <w:b w:val="0"/>
                <w:sz w:val="19"/>
              </w:rPr>
              <w:t>Open operations avoided</w:t>
            </w:r>
          </w:p>
        </w:tc>
        <w:tc>
          <w:tcPr>
            <w:tcW w:type="dxa" w:w="2526"/>
            <w:shd w:val="clear" w:color="auto" w:fill="F2F2F2"/>
          </w:tcPr>
          <w:p>
            <w:pPr>
              <w:spacing w:after="0" w:before="0"/>
            </w:pPr>
            <w:r>
              <w:rPr>
                <w:rFonts w:ascii="Arial" w:hAnsi="Arial"/>
                <w:b w:val="0"/>
                <w:sz w:val="19"/>
              </w:rPr>
              <w:t>140</w:t>
            </w:r>
          </w:p>
        </w:tc>
      </w:tr>
      <w:tr>
        <w:tc>
          <w:tcPr>
            <w:tcW w:type="dxa" w:w="6499"/>
          </w:tcPr>
          <w:p>
            <w:pPr>
              <w:spacing w:after="0" w:before="0"/>
            </w:pPr>
            <w:r>
              <w:rPr>
                <w:rFonts w:ascii="Arial" w:hAnsi="Arial"/>
                <w:b w:val="0"/>
                <w:sz w:val="19"/>
              </w:rPr>
              <w:t>Bed-days released</w:t>
            </w:r>
          </w:p>
        </w:tc>
        <w:tc>
          <w:tcPr>
            <w:tcW w:type="dxa" w:w="2526"/>
          </w:tcPr>
          <w:p>
            <w:pPr>
              <w:spacing w:after="0" w:before="0"/>
            </w:pPr>
            <w:r>
              <w:rPr>
                <w:rFonts w:ascii="Arial" w:hAnsi="Arial"/>
                <w:b w:val="0"/>
                <w:sz w:val="19"/>
              </w:rPr>
              <w:t>306</w:t>
            </w:r>
          </w:p>
        </w:tc>
      </w:tr>
      <w:tr>
        <w:tc>
          <w:tcPr>
            <w:tcW w:type="dxa" w:w="6499"/>
            <w:shd w:val="clear" w:color="auto" w:fill="F2F2F2"/>
          </w:tcPr>
          <w:p>
            <w:pPr>
              <w:spacing w:after="0" w:before="0"/>
            </w:pPr>
            <w:r>
              <w:rPr>
                <w:rFonts w:ascii="Arial" w:hAnsi="Arial"/>
                <w:b w:val="0"/>
                <w:sz w:val="19"/>
              </w:rPr>
              <w:t>Conversions to open surgery avoided</w:t>
            </w:r>
          </w:p>
        </w:tc>
        <w:tc>
          <w:tcPr>
            <w:tcW w:type="dxa" w:w="2526"/>
            <w:shd w:val="clear" w:color="auto" w:fill="F2F2F2"/>
          </w:tcPr>
          <w:p>
            <w:pPr>
              <w:spacing w:after="0" w:before="0"/>
            </w:pPr>
            <w:r>
              <w:rPr>
                <w:rFonts w:ascii="Arial" w:hAnsi="Arial"/>
                <w:b w:val="0"/>
                <w:sz w:val="19"/>
              </w:rPr>
              <w:t>9.7</w:t>
            </w:r>
          </w:p>
        </w:tc>
      </w:tr>
      <w:tr>
        <w:tc>
          <w:tcPr>
            <w:tcW w:type="dxa" w:w="6499"/>
          </w:tcPr>
          <w:p>
            <w:pPr>
              <w:spacing w:after="0" w:before="0"/>
            </w:pPr>
            <w:r>
              <w:rPr>
                <w:rFonts w:ascii="Arial" w:hAnsi="Arial"/>
                <w:b w:val="0"/>
                <w:sz w:val="19"/>
              </w:rPr>
              <w:t>Major complications avoided</w:t>
            </w:r>
          </w:p>
        </w:tc>
        <w:tc>
          <w:tcPr>
            <w:tcW w:type="dxa" w:w="2526"/>
          </w:tcPr>
          <w:p>
            <w:pPr>
              <w:spacing w:after="0" w:before="0"/>
            </w:pPr>
            <w:r>
              <w:rPr>
                <w:rFonts w:ascii="Arial" w:hAnsi="Arial"/>
                <w:b w:val="0"/>
                <w:sz w:val="19"/>
              </w:rPr>
              <w:t>5.4</w:t>
            </w:r>
          </w:p>
        </w:tc>
      </w:tr>
      <w:tr>
        <w:tc>
          <w:tcPr>
            <w:tcW w:type="dxa" w:w="6499"/>
            <w:shd w:val="clear" w:color="auto" w:fill="F2F2F2"/>
          </w:tcPr>
          <w:p>
            <w:pPr>
              <w:spacing w:after="0" w:before="0"/>
            </w:pPr>
            <w:r>
              <w:rPr>
                <w:rFonts w:ascii="Arial" w:hAnsi="Arial"/>
                <w:b w:val="0"/>
                <w:sz w:val="19"/>
              </w:rPr>
              <w:t>Returns to theatre avoided</w:t>
            </w:r>
          </w:p>
        </w:tc>
        <w:tc>
          <w:tcPr>
            <w:tcW w:type="dxa" w:w="2526"/>
            <w:shd w:val="clear" w:color="auto" w:fill="F2F2F2"/>
          </w:tcPr>
          <w:p>
            <w:pPr>
              <w:spacing w:after="0" w:before="0"/>
            </w:pPr>
            <w:r>
              <w:rPr>
                <w:rFonts w:ascii="Arial" w:hAnsi="Arial"/>
                <w:b w:val="0"/>
                <w:sz w:val="19"/>
              </w:rPr>
              <w:t>1.3</w:t>
            </w:r>
          </w:p>
        </w:tc>
      </w:tr>
      <w:tr>
        <w:tc>
          <w:tcPr>
            <w:tcW w:type="dxa" w:w="6499"/>
          </w:tcPr>
          <w:p>
            <w:pPr>
              <w:spacing w:after="0" w:before="0"/>
            </w:pPr>
            <w:r>
              <w:rPr>
                <w:rFonts w:ascii="Arial" w:hAnsi="Arial"/>
                <w:b w:val="0"/>
                <w:sz w:val="19"/>
              </w:rPr>
              <w:t>Readmissions avoided</w:t>
            </w:r>
          </w:p>
        </w:tc>
        <w:tc>
          <w:tcPr>
            <w:tcW w:type="dxa" w:w="2526"/>
          </w:tcPr>
          <w:p>
            <w:pPr>
              <w:spacing w:after="0" w:before="0"/>
            </w:pPr>
            <w:r>
              <w:rPr>
                <w:rFonts w:ascii="Arial" w:hAnsi="Arial"/>
                <w:b w:val="0"/>
                <w:sz w:val="19"/>
              </w:rPr>
              <w:t>0.9</w:t>
            </w:r>
          </w:p>
        </w:tc>
      </w:tr>
      <w:tr>
        <w:tc>
          <w:tcPr>
            <w:tcW w:type="dxa" w:w="6499"/>
            <w:shd w:val="clear" w:color="auto" w:fill="F2F2F2"/>
          </w:tcPr>
          <w:p>
            <w:pPr>
              <w:spacing w:after="0" w:before="0"/>
            </w:pPr>
            <w:r>
              <w:rPr>
                <w:rFonts w:ascii="Arial" w:hAnsi="Arial"/>
                <w:b w:val="0"/>
                <w:sz w:val="19"/>
              </w:rPr>
              <w:t>Extra elective operations the released beds could support</w:t>
            </w:r>
          </w:p>
        </w:tc>
        <w:tc>
          <w:tcPr>
            <w:tcW w:type="dxa" w:w="2526"/>
            <w:shd w:val="clear" w:color="auto" w:fill="F2F2F2"/>
          </w:tcPr>
          <w:p>
            <w:pPr>
              <w:spacing w:after="0" w:before="0"/>
            </w:pPr>
            <w:r>
              <w:rPr>
                <w:rFonts w:ascii="Arial" w:hAnsi="Arial"/>
                <w:b w:val="0"/>
                <w:sz w:val="19"/>
              </w:rPr>
              <w:t>76</w:t>
            </w:r>
          </w:p>
        </w:tc>
      </w:tr>
    </w:tbl>
    <w:p/>
    <w:p>
      <w:pPr>
        <w:pStyle w:val="Heading3"/>
      </w:pPr>
      <w:r>
        <w:t>Cost per outcome (five years)</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6500"/>
        <w:gridCol w:w="2526"/>
      </w:tblGrid>
      <w:tr>
        <w:trPr>
          <w:tblHeader w:val="true"/>
        </w:trPr>
        <w:tc>
          <w:tcPr>
            <w:tcW w:type="dxa" w:w="6499"/>
            <w:shd w:val="clear" w:color="auto" w:fill="1F3864"/>
          </w:tcPr>
          <w:p>
            <w:pPr>
              <w:spacing w:after="0" w:before="0"/>
            </w:pPr>
            <w:r/>
            <w:r>
              <w:rPr>
                <w:rFonts w:ascii="Arial" w:hAnsi="Arial"/>
                <w:b/>
                <w:color w:val="FFFFFF"/>
                <w:sz w:val="19"/>
              </w:rPr>
              <w:t>Measure</w:t>
            </w:r>
          </w:p>
        </w:tc>
        <w:tc>
          <w:tcPr>
            <w:tcW w:type="dxa" w:w="2526"/>
            <w:shd w:val="clear" w:color="auto" w:fill="1F3864"/>
          </w:tcPr>
          <w:p>
            <w:pPr>
              <w:spacing w:after="0" w:before="0"/>
            </w:pPr>
            <w:r/>
            <w:r>
              <w:rPr>
                <w:rFonts w:ascii="Arial" w:hAnsi="Arial"/>
                <w:b/>
                <w:color w:val="FFFFFF"/>
                <w:sz w:val="19"/>
              </w:rPr>
              <w:t>Extra cost to the trust</w:t>
            </w:r>
          </w:p>
        </w:tc>
      </w:tr>
      <w:tr>
        <w:tc>
          <w:tcPr>
            <w:tcW w:type="dxa" w:w="6499"/>
          </w:tcPr>
          <w:p>
            <w:pPr>
              <w:spacing w:after="0" w:before="0"/>
            </w:pPr>
            <w:r>
              <w:rPr>
                <w:rFonts w:ascii="Arial" w:hAnsi="Arial"/>
                <w:b w:val="0"/>
                <w:sz w:val="19"/>
              </w:rPr>
              <w:t>Per robotic operation</w:t>
            </w:r>
          </w:p>
        </w:tc>
        <w:tc>
          <w:tcPr>
            <w:tcW w:type="dxa" w:w="2526"/>
          </w:tcPr>
          <w:p>
            <w:pPr>
              <w:spacing w:after="0" w:before="0"/>
            </w:pPr>
            <w:r>
              <w:rPr>
                <w:rFonts w:ascii="Arial" w:hAnsi="Arial"/>
                <w:b w:val="0"/>
                <w:sz w:val="19"/>
              </w:rPr>
              <w:t>£2,643</w:t>
            </w:r>
          </w:p>
        </w:tc>
      </w:tr>
      <w:tr>
        <w:tc>
          <w:tcPr>
            <w:tcW w:type="dxa" w:w="6499"/>
            <w:shd w:val="clear" w:color="auto" w:fill="F2F2F2"/>
          </w:tcPr>
          <w:p>
            <w:pPr>
              <w:spacing w:after="0" w:before="0"/>
            </w:pPr>
            <w:r>
              <w:rPr>
                <w:rFonts w:ascii="Arial" w:hAnsi="Arial"/>
                <w:b w:val="0"/>
                <w:sz w:val="19"/>
              </w:rPr>
              <w:t>Per open operation avoided</w:t>
            </w:r>
          </w:p>
        </w:tc>
        <w:tc>
          <w:tcPr>
            <w:tcW w:type="dxa" w:w="2526"/>
            <w:shd w:val="clear" w:color="auto" w:fill="F2F2F2"/>
          </w:tcPr>
          <w:p>
            <w:pPr>
              <w:spacing w:after="0" w:before="0"/>
            </w:pPr>
            <w:r>
              <w:rPr>
                <w:rFonts w:ascii="Arial" w:hAnsi="Arial"/>
                <w:b w:val="0"/>
                <w:sz w:val="19"/>
              </w:rPr>
              <w:t>£7,767</w:t>
            </w:r>
          </w:p>
        </w:tc>
      </w:tr>
      <w:tr>
        <w:tc>
          <w:tcPr>
            <w:tcW w:type="dxa" w:w="6499"/>
          </w:tcPr>
          <w:p>
            <w:pPr>
              <w:spacing w:after="0" w:before="0"/>
            </w:pPr>
            <w:r>
              <w:rPr>
                <w:rFonts w:ascii="Arial" w:hAnsi="Arial"/>
                <w:b w:val="0"/>
                <w:sz w:val="19"/>
              </w:rPr>
              <w:t>Per bed-day released</w:t>
            </w:r>
          </w:p>
        </w:tc>
        <w:tc>
          <w:tcPr>
            <w:tcW w:type="dxa" w:w="2526"/>
          </w:tcPr>
          <w:p>
            <w:pPr>
              <w:spacing w:after="0" w:before="0"/>
            </w:pPr>
            <w:r>
              <w:rPr>
                <w:rFonts w:ascii="Arial" w:hAnsi="Arial"/>
                <w:b w:val="0"/>
                <w:sz w:val="19"/>
              </w:rPr>
              <w:t>£3,759</w:t>
            </w:r>
          </w:p>
        </w:tc>
      </w:tr>
      <w:tr>
        <w:tc>
          <w:tcPr>
            <w:tcW w:type="dxa" w:w="6499"/>
            <w:shd w:val="clear" w:color="auto" w:fill="F2F2F2"/>
          </w:tcPr>
          <w:p>
            <w:pPr>
              <w:spacing w:after="0" w:before="0"/>
            </w:pPr>
            <w:r>
              <w:rPr>
                <w:rFonts w:ascii="Arial" w:hAnsi="Arial"/>
                <w:b w:val="0"/>
                <w:sz w:val="19"/>
              </w:rPr>
              <w:t>Per serious event avoided (complication, return to theatre or readmission)</w:t>
            </w:r>
          </w:p>
        </w:tc>
        <w:tc>
          <w:tcPr>
            <w:tcW w:type="dxa" w:w="2526"/>
            <w:shd w:val="clear" w:color="auto" w:fill="F2F2F2"/>
          </w:tcPr>
          <w:p>
            <w:pPr>
              <w:spacing w:after="0" w:before="0"/>
            </w:pPr>
            <w:r>
              <w:rPr>
                <w:rFonts w:ascii="Arial" w:hAnsi="Arial"/>
                <w:b w:val="0"/>
                <w:sz w:val="19"/>
              </w:rPr>
              <w:t>£151,583</w:t>
            </w:r>
          </w:p>
        </w:tc>
      </w:tr>
    </w:tbl>
    <w:p/>
    <w:p>
      <w:r>
        <w:rPr>
          <w:rFonts w:ascii="Arial" w:hAnsi="Arial"/>
          <w:b w:val="0"/>
          <w:sz w:val="22"/>
        </w:rPr>
        <w:t>Each ratio divides the whole five-year extra cost by one consequence, so they must not be added. Neither 30-day cost avoided nor tariff income is deducted, so the ratios measure NHS resources used.</w:t>
      </w:r>
    </w:p>
    <w:p>
      <w:pPr>
        <w:pStyle w:val="Heading3"/>
      </w:pPr>
      <w:r>
        <w:t>Five-year cost to the trust</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626"/>
        <w:gridCol w:w="1067"/>
        <w:gridCol w:w="1067"/>
        <w:gridCol w:w="1067"/>
        <w:gridCol w:w="1067"/>
        <w:gridCol w:w="1067"/>
        <w:gridCol w:w="1065"/>
      </w:tblGrid>
      <w:tr>
        <w:trPr>
          <w:tblHeader w:val="true"/>
        </w:trPr>
        <w:tc>
          <w:tcPr>
            <w:tcW w:type="dxa" w:w="2626"/>
            <w:shd w:val="clear" w:color="auto" w:fill="1F3864"/>
          </w:tcPr>
          <w:p>
            <w:pPr>
              <w:spacing w:after="0" w:before="0"/>
            </w:pPr>
            <w:r/>
            <w:r>
              <w:rPr>
                <w:rFonts w:ascii="Arial" w:hAnsi="Arial"/>
                <w:b/>
                <w:color w:val="FFFFFF"/>
                <w:sz w:val="19"/>
              </w:rPr>
              <w:t>£ (thousands)</w:t>
            </w:r>
          </w:p>
        </w:tc>
        <w:tc>
          <w:tcPr>
            <w:tcW w:type="dxa" w:w="1067"/>
            <w:shd w:val="clear" w:color="auto" w:fill="1F3864"/>
          </w:tcPr>
          <w:p>
            <w:pPr>
              <w:spacing w:after="0" w:before="0"/>
            </w:pPr>
            <w:r/>
            <w:r>
              <w:rPr>
                <w:rFonts w:ascii="Arial" w:hAnsi="Arial"/>
                <w:b/>
                <w:color w:val="FFFFFF"/>
                <w:sz w:val="19"/>
              </w:rPr>
              <w:t>Year 1</w:t>
            </w:r>
          </w:p>
        </w:tc>
        <w:tc>
          <w:tcPr>
            <w:tcW w:type="dxa" w:w="1067"/>
            <w:shd w:val="clear" w:color="auto" w:fill="1F3864"/>
          </w:tcPr>
          <w:p>
            <w:pPr>
              <w:spacing w:after="0" w:before="0"/>
            </w:pPr>
            <w:r/>
            <w:r>
              <w:rPr>
                <w:rFonts w:ascii="Arial" w:hAnsi="Arial"/>
                <w:b/>
                <w:color w:val="FFFFFF"/>
                <w:sz w:val="19"/>
              </w:rPr>
              <w:t>Year 2</w:t>
            </w:r>
          </w:p>
        </w:tc>
        <w:tc>
          <w:tcPr>
            <w:tcW w:type="dxa" w:w="1067"/>
            <w:shd w:val="clear" w:color="auto" w:fill="1F3864"/>
          </w:tcPr>
          <w:p>
            <w:pPr>
              <w:spacing w:after="0" w:before="0"/>
            </w:pPr>
            <w:r/>
            <w:r>
              <w:rPr>
                <w:rFonts w:ascii="Arial" w:hAnsi="Arial"/>
                <w:b/>
                <w:color w:val="FFFFFF"/>
                <w:sz w:val="19"/>
              </w:rPr>
              <w:t>Year 3</w:t>
            </w:r>
          </w:p>
        </w:tc>
        <w:tc>
          <w:tcPr>
            <w:tcW w:type="dxa" w:w="1067"/>
            <w:shd w:val="clear" w:color="auto" w:fill="1F3864"/>
          </w:tcPr>
          <w:p>
            <w:pPr>
              <w:spacing w:after="0" w:before="0"/>
            </w:pPr>
            <w:r/>
            <w:r>
              <w:rPr>
                <w:rFonts w:ascii="Arial" w:hAnsi="Arial"/>
                <w:b/>
                <w:color w:val="FFFFFF"/>
                <w:sz w:val="19"/>
              </w:rPr>
              <w:t>Year 4</w:t>
            </w:r>
          </w:p>
        </w:tc>
        <w:tc>
          <w:tcPr>
            <w:tcW w:type="dxa" w:w="1067"/>
            <w:shd w:val="clear" w:color="auto" w:fill="1F3864"/>
          </w:tcPr>
          <w:p>
            <w:pPr>
              <w:spacing w:after="0" w:before="0"/>
            </w:pPr>
            <w:r/>
            <w:r>
              <w:rPr>
                <w:rFonts w:ascii="Arial" w:hAnsi="Arial"/>
                <w:b/>
                <w:color w:val="FFFFFF"/>
                <w:sz w:val="19"/>
              </w:rPr>
              <w:t>Year 5</w:t>
            </w:r>
          </w:p>
        </w:tc>
        <w:tc>
          <w:tcPr>
            <w:tcW w:type="dxa" w:w="1065"/>
            <w:shd w:val="clear" w:color="auto" w:fill="1F3864"/>
          </w:tcPr>
          <w:p>
            <w:pPr>
              <w:spacing w:after="0" w:before="0"/>
            </w:pPr>
            <w:r/>
            <w:r>
              <w:rPr>
                <w:rFonts w:ascii="Arial" w:hAnsi="Arial"/>
                <w:b/>
                <w:color w:val="FFFFFF"/>
                <w:sz w:val="19"/>
              </w:rPr>
              <w:t>Total</w:t>
            </w:r>
          </w:p>
        </w:tc>
      </w:tr>
      <w:tr>
        <w:tc>
          <w:tcPr>
            <w:tcW w:type="dxa" w:w="2626"/>
          </w:tcPr>
          <w:p>
            <w:pPr>
              <w:spacing w:after="0" w:before="0"/>
            </w:pPr>
            <w:r>
              <w:rPr>
                <w:rFonts w:ascii="Arial" w:hAnsi="Arial"/>
                <w:b/>
                <w:sz w:val="19"/>
              </w:rPr>
              <w:t>Extra cost to the trust (revenue)</w:t>
            </w:r>
          </w:p>
        </w:tc>
        <w:tc>
          <w:tcPr>
            <w:tcW w:type="dxa" w:w="1067"/>
          </w:tcPr>
          <w:p>
            <w:pPr>
              <w:spacing w:after="0" w:before="0"/>
            </w:pPr>
            <w:r>
              <w:rPr>
                <w:rFonts w:ascii="Arial" w:hAnsi="Arial"/>
                <w:b/>
                <w:sz w:val="19"/>
              </w:rPr>
              <w:t>960</w:t>
            </w:r>
          </w:p>
        </w:tc>
        <w:tc>
          <w:tcPr>
            <w:tcW w:type="dxa" w:w="1067"/>
          </w:tcPr>
          <w:p>
            <w:pPr>
              <w:spacing w:after="0" w:before="0"/>
            </w:pPr>
            <w:r>
              <w:rPr>
                <w:rFonts w:ascii="Arial" w:hAnsi="Arial"/>
                <w:b/>
                <w:sz w:val="19"/>
              </w:rPr>
              <w:t>963</w:t>
            </w:r>
          </w:p>
        </w:tc>
        <w:tc>
          <w:tcPr>
            <w:tcW w:type="dxa" w:w="1067"/>
          </w:tcPr>
          <w:p>
            <w:pPr>
              <w:spacing w:after="0" w:before="0"/>
            </w:pPr>
            <w:r>
              <w:rPr>
                <w:rFonts w:ascii="Arial" w:hAnsi="Arial"/>
                <w:b/>
                <w:sz w:val="19"/>
              </w:rPr>
              <w:t>1,025</w:t>
            </w:r>
          </w:p>
        </w:tc>
        <w:tc>
          <w:tcPr>
            <w:tcW w:type="dxa" w:w="1067"/>
          </w:tcPr>
          <w:p>
            <w:pPr>
              <w:spacing w:after="0" w:before="0"/>
            </w:pPr>
            <w:r>
              <w:rPr>
                <w:rFonts w:ascii="Arial" w:hAnsi="Arial"/>
                <w:b/>
                <w:sz w:val="19"/>
              </w:rPr>
              <w:t>1,020</w:t>
            </w:r>
          </w:p>
        </w:tc>
        <w:tc>
          <w:tcPr>
            <w:tcW w:type="dxa" w:w="1067"/>
          </w:tcPr>
          <w:p>
            <w:pPr>
              <w:spacing w:after="0" w:before="0"/>
            </w:pPr>
            <w:r>
              <w:rPr>
                <w:rFonts w:ascii="Arial" w:hAnsi="Arial"/>
                <w:b/>
                <w:sz w:val="19"/>
              </w:rPr>
              <w:t>1,016</w:t>
            </w:r>
          </w:p>
        </w:tc>
        <w:tc>
          <w:tcPr>
            <w:tcW w:type="dxa" w:w="1065"/>
          </w:tcPr>
          <w:p>
            <w:pPr>
              <w:spacing w:after="0" w:before="0"/>
            </w:pPr>
            <w:r>
              <w:rPr>
                <w:rFonts w:ascii="Arial" w:hAnsi="Arial"/>
                <w:b/>
                <w:sz w:val="19"/>
              </w:rPr>
              <w:t>4,984</w:t>
            </w:r>
          </w:p>
        </w:tc>
      </w:tr>
    </w:tbl>
    <w:p/>
    <w:p>
      <w:r>
        <w:rPr>
          <w:rFonts w:ascii="Arial" w:hAnsi="Arial"/>
          <w:b w:val="0"/>
          <w:sz w:val="22"/>
        </w:rPr>
        <w:t>Tariff: the income line counts only the difference over what the trust would earn for the same patients without the robot, entered per procedure, and assumes those patients would otherwise be treated at this trust. It appears in the trust's cash case only. It is a transfer within the NHS, so it is excluded from the economic view (net present cost) and from the cost per outcome. No extra tariff income has been entered for this case.</w:t>
      </w:r>
    </w:p>
    <w:p>
      <w:r>
        <w:rPr>
          <w:rFonts w:ascii="Arial" w:hAnsi="Arial"/>
          <w:b w:val="0"/>
          <w:sz w:val="22"/>
        </w:rPr>
        <w:t>Capital: £1,920,000 in total, of which £920,000 is funded by the trust and £1,000,000 is assumed from central funds. Revenue cost includes depreciation and public dividend capital on the trust-funded capital, so capital and revenue must not be added.</w:t>
      </w:r>
    </w:p>
    <w:p>
      <w:r>
        <w:rPr>
          <w:rFonts w:ascii="Arial" w:hAnsi="Arial"/>
          <w:b w:val="0"/>
          <w:sz w:val="22"/>
        </w:rPr>
        <w:t>Over five years the programme would also avoid about £709,358 of 30-day costs, mostly bed-days (1,326). These are not deducted: they release capacity, not cash, unless beds or staff are removed or reused. They are shown in the economic case.</w:t>
      </w:r>
    </w:p>
    <w:p>
      <w:r>
        <w:rPr>
          <w:rFonts w:ascii="Arial" w:hAnsi="Arial"/>
          <w:b w:val="0"/>
          <w:sz w:val="22"/>
        </w:rPr>
        <w:t>Break-even: none. At this case mix each extra case adds more cost than it avoids at 30 days, so higher volume lowers the cost per case but never reaches break-even.</w:t>
      </w:r>
    </w:p>
    <w:p>
      <w:r>
        <w:rPr>
          <w:rFonts w:ascii="Arial" w:hAnsi="Arial"/>
          <w:b w:val="0"/>
          <w:sz w:val="22"/>
        </w:rPr>
        <w:t>For comparison, a well-functioning benchmark programme (about 550 cases per robot a year, typical case mix, mid-level costs) would cost about £2,318 per robotic operation and £2,141 per bed-day released, against £2,643 and £3,759 here (section 3.4).</w:t>
      </w:r>
    </w:p>
    <w:p>
      <w:pPr>
        <w:pStyle w:val="Heading3"/>
      </w:pPr>
      <w:r>
        <w:t>Spending guardrails</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5000"/>
        <w:gridCol w:w="2200"/>
        <w:gridCol w:w="1826"/>
      </w:tblGrid>
      <w:tr>
        <w:trPr>
          <w:tblHeader w:val="true"/>
        </w:trPr>
        <w:tc>
          <w:tcPr>
            <w:tcW w:type="dxa" w:w="4999"/>
            <w:shd w:val="clear" w:color="auto" w:fill="1F3864"/>
          </w:tcPr>
          <w:p>
            <w:pPr>
              <w:spacing w:after="0" w:before="0"/>
            </w:pPr>
            <w:r/>
            <w:r>
              <w:rPr>
                <w:rFonts w:ascii="Arial" w:hAnsi="Arial"/>
                <w:b/>
                <w:color w:val="FFFFFF"/>
                <w:sz w:val="19"/>
              </w:rPr>
              <w:t>Check</w:t>
            </w:r>
          </w:p>
        </w:tc>
        <w:tc>
          <w:tcPr>
            <w:tcW w:type="dxa" w:w="2200"/>
            <w:shd w:val="clear" w:color="auto" w:fill="1F3864"/>
          </w:tcPr>
          <w:p>
            <w:pPr>
              <w:spacing w:after="0" w:before="0"/>
            </w:pPr>
            <w:r/>
            <w:r>
              <w:rPr>
                <w:rFonts w:ascii="Arial" w:hAnsi="Arial"/>
                <w:b/>
                <w:color w:val="FFFFFF"/>
                <w:sz w:val="19"/>
              </w:rPr>
              <w:t>Result</w:t>
            </w:r>
          </w:p>
        </w:tc>
        <w:tc>
          <w:tcPr>
            <w:tcW w:type="dxa" w:w="1826"/>
            <w:shd w:val="clear" w:color="auto" w:fill="1F3864"/>
          </w:tcPr>
          <w:p>
            <w:pPr>
              <w:spacing w:after="0" w:before="0"/>
            </w:pPr>
            <w:r/>
            <w:r>
              <w:rPr>
                <w:rFonts w:ascii="Arial" w:hAnsi="Arial"/>
                <w:b/>
                <w:color w:val="FFFFFF"/>
                <w:sz w:val="19"/>
              </w:rPr>
              <w:t>Status</w:t>
            </w:r>
          </w:p>
        </w:tc>
      </w:tr>
      <w:tr>
        <w:tc>
          <w:tcPr>
            <w:tcW w:type="dxa" w:w="4999"/>
          </w:tcPr>
          <w:p>
            <w:pPr>
              <w:spacing w:after="0" w:before="0"/>
            </w:pPr>
            <w:r>
              <w:rPr>
                <w:rFonts w:ascii="Arial" w:hAnsi="Arial"/>
                <w:b w:val="0"/>
                <w:sz w:val="19"/>
              </w:rPr>
              <w:t>Robotic cases per robot per year</w:t>
            </w:r>
          </w:p>
        </w:tc>
        <w:tc>
          <w:tcPr>
            <w:tcW w:type="dxa" w:w="2200"/>
          </w:tcPr>
          <w:p>
            <w:pPr>
              <w:spacing w:after="0" w:before="0"/>
            </w:pPr>
            <w:r>
              <w:rPr>
                <w:rFonts w:ascii="Arial" w:hAnsi="Arial"/>
                <w:b w:val="0"/>
                <w:sz w:val="19"/>
              </w:rPr>
              <w:t>410</w:t>
            </w:r>
          </w:p>
        </w:tc>
        <w:tc>
          <w:tcPr>
            <w:tcW w:type="dxa" w:w="1826"/>
            <w:shd w:val="clear" w:color="auto" w:fill="C6EFCE"/>
          </w:tcPr>
          <w:p>
            <w:pPr>
              <w:spacing w:after="0" w:before="0"/>
            </w:pPr>
            <w:r>
              <w:rPr>
                <w:rFonts w:ascii="Arial" w:hAnsi="Arial"/>
                <w:b w:val="0"/>
                <w:sz w:val="19"/>
              </w:rPr>
              <w:t>Green</w:t>
            </w:r>
          </w:p>
        </w:tc>
      </w:tr>
      <w:tr>
        <w:tc>
          <w:tcPr>
            <w:tcW w:type="dxa" w:w="4999"/>
            <w:shd w:val="clear" w:color="auto" w:fill="F2F2F2"/>
          </w:tcPr>
          <w:p>
            <w:pPr>
              <w:spacing w:after="0" w:before="0"/>
            </w:pPr>
            <w:r>
              <w:rPr>
                <w:rFonts w:ascii="Arial" w:hAnsi="Arial"/>
                <w:b w:val="0"/>
                <w:sz w:val="19"/>
              </w:rPr>
              <w:t>Robot utilisation (booked sessions)</w:t>
            </w:r>
          </w:p>
        </w:tc>
        <w:tc>
          <w:tcPr>
            <w:tcW w:type="dxa" w:w="2200"/>
            <w:shd w:val="clear" w:color="auto" w:fill="F2F2F2"/>
          </w:tcPr>
          <w:p>
            <w:pPr>
              <w:spacing w:after="0" w:before="0"/>
            </w:pPr>
            <w:r>
              <w:rPr>
                <w:rFonts w:ascii="Arial" w:hAnsi="Arial"/>
                <w:b w:val="0"/>
                <w:sz w:val="19"/>
              </w:rPr>
              <w:t>100%</w:t>
            </w:r>
          </w:p>
        </w:tc>
        <w:tc>
          <w:tcPr>
            <w:tcW w:type="dxa" w:w="1826"/>
            <w:shd w:val="clear" w:color="auto" w:fill="C6EFCE"/>
          </w:tcPr>
          <w:p>
            <w:pPr>
              <w:spacing w:after="0" w:before="0"/>
            </w:pPr>
            <w:r>
              <w:rPr>
                <w:rFonts w:ascii="Arial" w:hAnsi="Arial"/>
                <w:b w:val="0"/>
                <w:sz w:val="19"/>
              </w:rPr>
              <w:t>Green</w:t>
            </w:r>
          </w:p>
        </w:tc>
      </w:tr>
      <w:tr>
        <w:tc>
          <w:tcPr>
            <w:tcW w:type="dxa" w:w="4999"/>
          </w:tcPr>
          <w:p>
            <w:pPr>
              <w:spacing w:after="0" w:before="0"/>
            </w:pPr>
            <w:r>
              <w:rPr>
                <w:rFonts w:ascii="Arial" w:hAnsi="Arial"/>
                <w:b w:val="0"/>
                <w:sz w:val="19"/>
              </w:rPr>
              <w:t>Share of robotic cases displacing open surgery (advisory)</w:t>
            </w:r>
          </w:p>
        </w:tc>
        <w:tc>
          <w:tcPr>
            <w:tcW w:type="dxa" w:w="2200"/>
          </w:tcPr>
          <w:p>
            <w:pPr>
              <w:spacing w:after="0" w:before="0"/>
            </w:pPr>
            <w:r>
              <w:rPr>
                <w:rFonts w:ascii="Arial" w:hAnsi="Arial"/>
                <w:b w:val="0"/>
                <w:sz w:val="19"/>
              </w:rPr>
              <w:t>34%</w:t>
            </w:r>
          </w:p>
        </w:tc>
        <w:tc>
          <w:tcPr>
            <w:tcW w:type="dxa" w:w="1826"/>
            <w:shd w:val="clear" w:color="auto" w:fill="FFEB9C"/>
          </w:tcPr>
          <w:p>
            <w:pPr>
              <w:spacing w:after="0" w:before="0"/>
            </w:pPr>
            <w:r>
              <w:rPr>
                <w:rFonts w:ascii="Arial" w:hAnsi="Arial"/>
                <w:b w:val="0"/>
                <w:sz w:val="19"/>
              </w:rPr>
              <w:t>Amber</w:t>
            </w:r>
          </w:p>
        </w:tc>
      </w:tr>
      <w:tr>
        <w:tc>
          <w:tcPr>
            <w:tcW w:type="dxa" w:w="4999"/>
            <w:shd w:val="clear" w:color="auto" w:fill="F2F2F2"/>
          </w:tcPr>
          <w:p>
            <w:pPr>
              <w:spacing w:after="0" w:before="0"/>
            </w:pPr>
            <w:r>
              <w:rPr>
                <w:rFonts w:ascii="Arial" w:hAnsi="Arial"/>
                <w:b w:val="0"/>
                <w:sz w:val="19"/>
              </w:rPr>
              <w:t>Lists less than 75% full</w:t>
            </w:r>
          </w:p>
        </w:tc>
        <w:tc>
          <w:tcPr>
            <w:tcW w:type="dxa" w:w="2200"/>
            <w:shd w:val="clear" w:color="auto" w:fill="F2F2F2"/>
          </w:tcPr>
          <w:p>
            <w:pPr>
              <w:spacing w:after="0" w:before="0"/>
            </w:pPr>
            <w:r>
              <w:rPr>
                <w:rFonts w:ascii="Arial" w:hAnsi="Arial"/>
                <w:b w:val="0"/>
                <w:sz w:val="19"/>
              </w:rPr>
              <w:t>3</w:t>
            </w:r>
          </w:p>
        </w:tc>
        <w:tc>
          <w:tcPr>
            <w:tcW w:type="dxa" w:w="1826"/>
            <w:shd w:val="clear" w:color="auto" w:fill="FFEB9C"/>
          </w:tcPr>
          <w:p>
            <w:pPr>
              <w:spacing w:after="0" w:before="0"/>
            </w:pPr>
            <w:r>
              <w:rPr>
                <w:rFonts w:ascii="Arial" w:hAnsi="Arial"/>
                <w:b w:val="0"/>
                <w:sz w:val="19"/>
              </w:rPr>
              <w:t>Amber</w:t>
            </w:r>
          </w:p>
        </w:tc>
      </w:tr>
      <w:tr>
        <w:tc>
          <w:tcPr>
            <w:tcW w:type="dxa" w:w="4999"/>
          </w:tcPr>
          <w:p>
            <w:pPr>
              <w:spacing w:after="0" w:before="0"/>
            </w:pPr>
            <w:r>
              <w:rPr>
                <w:rFonts w:ascii="Arial" w:hAnsi="Arial"/>
                <w:b w:val="0"/>
                <w:sz w:val="19"/>
              </w:rPr>
              <w:t>Instrument price basis</w:t>
            </w:r>
          </w:p>
        </w:tc>
        <w:tc>
          <w:tcPr>
            <w:tcW w:type="dxa" w:w="2200"/>
          </w:tcPr>
          <w:p>
            <w:pPr>
              <w:spacing w:after="0" w:before="0"/>
            </w:pPr>
            <w:r>
              <w:rPr>
                <w:rFonts w:ascii="Arial" w:hAnsi="Arial"/>
                <w:b w:val="0"/>
                <w:sz w:val="19"/>
              </w:rPr>
              <w:t>Standard discount, 15% off list</w:t>
            </w:r>
          </w:p>
        </w:tc>
        <w:tc>
          <w:tcPr>
            <w:tcW w:type="dxa" w:w="1826"/>
            <w:shd w:val="clear" w:color="auto" w:fill="FFEB9C"/>
          </w:tcPr>
          <w:p>
            <w:pPr>
              <w:spacing w:after="0" w:before="0"/>
            </w:pPr>
            <w:r>
              <w:rPr>
                <w:rFonts w:ascii="Arial" w:hAnsi="Arial"/>
                <w:b w:val="0"/>
                <w:sz w:val="19"/>
              </w:rPr>
              <w:t>Amber</w:t>
            </w:r>
          </w:p>
        </w:tc>
      </w:tr>
      <w:tr>
        <w:tc>
          <w:tcPr>
            <w:tcW w:type="dxa" w:w="4999"/>
            <w:shd w:val="clear" w:color="auto" w:fill="F2F2F2"/>
          </w:tcPr>
          <w:p>
            <w:pPr>
              <w:spacing w:after="0" w:before="0"/>
            </w:pPr>
            <w:r>
              <w:rPr>
                <w:rFonts w:ascii="Arial" w:hAnsi="Arial"/>
                <w:b w:val="0"/>
                <w:sz w:val="19"/>
              </w:rPr>
              <w:t>Platform price</w:t>
            </w:r>
          </w:p>
        </w:tc>
        <w:tc>
          <w:tcPr>
            <w:tcW w:type="dxa" w:w="2200"/>
            <w:shd w:val="clear" w:color="auto" w:fill="F2F2F2"/>
          </w:tcPr>
          <w:p>
            <w:pPr>
              <w:spacing w:after="0" w:before="0"/>
            </w:pPr>
            <w:r>
              <w:rPr>
                <w:rFonts w:ascii="Arial" w:hAnsi="Arial"/>
                <w:b w:val="0"/>
                <w:sz w:val="19"/>
              </w:rPr>
              <w:t>Published anchor</w:t>
            </w:r>
          </w:p>
        </w:tc>
        <w:tc>
          <w:tcPr>
            <w:tcW w:type="dxa" w:w="1826"/>
            <w:shd w:val="clear" w:color="auto" w:fill="C6EFCE"/>
          </w:tcPr>
          <w:p>
            <w:pPr>
              <w:spacing w:after="0" w:before="0"/>
            </w:pPr>
            <w:r>
              <w:rPr>
                <w:rFonts w:ascii="Arial" w:hAnsi="Arial"/>
                <w:b w:val="0"/>
                <w:sz w:val="19"/>
              </w:rPr>
              <w:t>Green</w:t>
            </w:r>
          </w:p>
        </w:tc>
      </w:tr>
      <w:tr>
        <w:tc>
          <w:tcPr>
            <w:tcW w:type="dxa" w:w="4999"/>
          </w:tcPr>
          <w:p>
            <w:pPr>
              <w:spacing w:after="0" w:before="0"/>
            </w:pPr>
            <w:r>
              <w:rPr>
                <w:rFonts w:ascii="Arial" w:hAnsi="Arial"/>
                <w:b w:val="0"/>
                <w:sz w:val="19"/>
              </w:rPr>
              <w:t>Platform evidence base</w:t>
            </w:r>
          </w:p>
        </w:tc>
        <w:tc>
          <w:tcPr>
            <w:tcW w:type="dxa" w:w="2200"/>
          </w:tcPr>
          <w:p>
            <w:pPr>
              <w:spacing w:after="0" w:before="0"/>
            </w:pPr>
            <w:r>
              <w:rPr>
                <w:rFonts w:ascii="Arial" w:hAnsi="Arial"/>
                <w:b w:val="0"/>
                <w:sz w:val="19"/>
              </w:rPr>
              <w:t>Established</w:t>
            </w:r>
          </w:p>
        </w:tc>
        <w:tc>
          <w:tcPr>
            <w:tcW w:type="dxa" w:w="1826"/>
            <w:shd w:val="clear" w:color="auto" w:fill="C6EFCE"/>
          </w:tcPr>
          <w:p>
            <w:pPr>
              <w:spacing w:after="0" w:before="0"/>
            </w:pPr>
            <w:r>
              <w:rPr>
                <w:rFonts w:ascii="Arial" w:hAnsi="Arial"/>
                <w:b w:val="0"/>
                <w:sz w:val="19"/>
              </w:rPr>
              <w:t>Green</w:t>
            </w:r>
          </w:p>
        </w:tc>
      </w:tr>
      <w:tr>
        <w:tc>
          <w:tcPr>
            <w:tcW w:type="dxa" w:w="4999"/>
            <w:shd w:val="clear" w:color="auto" w:fill="F2F2F2"/>
          </w:tcPr>
          <w:p>
            <w:pPr>
              <w:spacing w:after="0" w:before="0"/>
            </w:pPr>
            <w:r>
              <w:rPr>
                <w:rFonts w:ascii="Arial" w:hAnsi="Arial"/>
                <w:b w:val="0"/>
                <w:sz w:val="19"/>
              </w:rPr>
              <w:t>Benefit assumptions changed from defaults</w:t>
            </w:r>
          </w:p>
        </w:tc>
        <w:tc>
          <w:tcPr>
            <w:tcW w:type="dxa" w:w="2200"/>
            <w:shd w:val="clear" w:color="auto" w:fill="F2F2F2"/>
          </w:tcPr>
          <w:p>
            <w:pPr>
              <w:spacing w:after="0" w:before="0"/>
            </w:pPr>
            <w:r>
              <w:rPr>
                <w:rFonts w:ascii="Arial" w:hAnsi="Arial"/>
                <w:b w:val="0"/>
                <w:sz w:val="19"/>
              </w:rPr>
              <w:t>0</w:t>
            </w:r>
          </w:p>
        </w:tc>
        <w:tc>
          <w:tcPr>
            <w:tcW w:type="dxa" w:w="1826"/>
            <w:shd w:val="clear" w:color="auto" w:fill="C6EFCE"/>
          </w:tcPr>
          <w:p>
            <w:pPr>
              <w:spacing w:after="0" w:before="0"/>
            </w:pPr>
            <w:r>
              <w:rPr>
                <w:rFonts w:ascii="Arial" w:hAnsi="Arial"/>
                <w:b w:val="0"/>
                <w:sz w:val="19"/>
              </w:rPr>
              <w:t>Green</w:t>
            </w:r>
          </w:p>
        </w:tc>
      </w:tr>
    </w:tbl>
    <w:p/>
    <w:p>
      <w:pPr>
        <w:pStyle w:val="Heading3"/>
      </w:pPr>
      <w:r>
        <w:t>Recommendation</w:t>
      </w:r>
    </w:p>
    <w:p>
      <w:r>
        <w:rPr>
          <w:rFonts w:ascii="Arial" w:hAnsi="Arial"/>
          <w:b w:val="0"/>
          <w:sz w:val="22"/>
          <w:highlight w:val="yellow"/>
        </w:rPr>
        <w:t>[Board recommendation to be completed by the senior responsible owner.]</w:t>
      </w:r>
      <w:r>
        <w:rPr>
          <w:rFonts w:ascii="Arial" w:hAnsi="Arial"/>
          <w:b w:val="0"/>
          <w:sz w:val="22"/>
        </w:rPr>
        <w:t xml:space="preserve"> The board is asked to approve the preferred option subject to completion of the specialty review of assumptions, a formal price quote, an instrument price no higher than £1,275 per case, and a benefits realisation review at 12 months.</w:t>
      </w:r>
    </w:p>
    <w:p>
      <w:r>
        <w:br w:type="page"/>
      </w:r>
    </w:p>
    <w:p>
      <w:pPr>
        <w:pStyle w:val="Heading1"/>
      </w:pPr>
      <w:r>
        <w:t>2. Strategic case</w:t>
      </w:r>
    </w:p>
    <w:p>
      <w:pPr>
        <w:pStyle w:val="Heading2"/>
      </w:pPr>
      <w:r>
        <w:t>2.1 Case for change</w:t>
      </w:r>
    </w:p>
    <w:p>
      <w:r>
        <w:rPr>
          <w:rFonts w:ascii="Arial" w:hAnsi="Arial"/>
          <w:b w:val="0"/>
          <w:sz w:val="22"/>
          <w:highlight w:val="yellow"/>
        </w:rPr>
        <w:t>[Describe [Trust name]</w:t>
      </w:r>
      <w:r>
        <w:rPr>
          <w:rFonts w:ascii="Arial" w:hAnsi="Arial"/>
          <w:b w:val="0"/>
          <w:sz w:val="22"/>
        </w:rPr>
        <w:t>'s current position: surgical waiting lists, current minimal access rates by specialty, workforce and training needs, and any existing robotic provision.]</w:t>
      </w:r>
    </w:p>
    <w:p>
      <w:r>
        <w:rPr>
          <w:rFonts w:ascii="Arial" w:hAnsi="Arial"/>
          <w:b w:val="0"/>
          <w:sz w:val="22"/>
        </w:rPr>
        <w:t>Robot-assisted surgery is expanding across the NHS. NICE's early value assessment of robot-assisted surgery for soft tissue procedures (HTE21, April 2025) allows these systems to be used while further evidence is generated, and asks centres to collect data on costs, activity, conversion to open surgery, rates of minimal access surgery and outcomes. Robotic prostatectomy was outside its scope because it is established NHS practice. This programme commits to that data collection through its 12-month review.</w:t>
      </w:r>
    </w:p>
    <w:p>
      <w:r>
        <w:rPr>
          <w:rFonts w:ascii="Arial" w:hAnsi="Arial"/>
          <w:b w:val="0"/>
          <w:sz w:val="22"/>
        </w:rPr>
        <w:t>National implementation guidance from NHS England and GIRFT (July 2025) asks that robotic programmes be high volume and fully used on all working days, approved through a full business case with regional stakeholders, overseen by a steering committee, and planned with capital replacement in mind. It also says that provision for recruiting and training surgical first assistants or surgical care practitioners should be built into the business case. This case is structured to follow that guidance.</w:t>
      </w:r>
    </w:p>
    <w:p>
      <w:pPr>
        <w:pStyle w:val="Heading2"/>
      </w:pPr>
      <w:r>
        <w:t>2.2 Specialties and priorities</w:t>
      </w:r>
    </w:p>
    <w:p>
      <w:r>
        <w:rPr>
          <w:rFonts w:ascii="Arial" w:hAnsi="Arial"/>
          <w:b w:val="0"/>
          <w:sz w:val="22"/>
        </w:rPr>
        <w:t>The programme includes specialties that NHS England has signalled as priorities for robotic access: Hysterectomy (benign and malignant), Myomectomy, Endometriosis excision, Adnexal surgery, Abdominal wall reconstruction. Other procedures scheduled are Colorectal major resection (colon and rectum), Nephrectomy and partial nephrectomy.</w:t>
      </w:r>
    </w:p>
    <w:p>
      <w:pPr>
        <w:pStyle w:val="Heading2"/>
      </w:pPr>
      <w:r>
        <w:t>2.3 Objectives</w:t>
      </w:r>
    </w:p>
    <w:p>
      <w:pPr>
        <w:pStyle w:val="ListBullet"/>
      </w:pPr>
      <w:r>
        <w:rPr>
          <w:rFonts w:ascii="Arial" w:hAnsi="Arial"/>
          <w:b w:val="0"/>
          <w:sz w:val="22"/>
        </w:rPr>
        <w:t>Deliver about 410 robotic operations a year by year 3.</w:t>
      </w:r>
    </w:p>
    <w:p>
      <w:pPr>
        <w:pStyle w:val="ListBullet"/>
      </w:pPr>
      <w:r>
        <w:rPr>
          <w:rFonts w:ascii="Arial" w:hAnsi="Arial"/>
          <w:b w:val="0"/>
          <w:sz w:val="22"/>
        </w:rPr>
        <w:t>Avoid about 140 open operations a year in patients who would otherwise have had open surgery.</w:t>
      </w:r>
    </w:p>
    <w:p>
      <w:pPr>
        <w:pStyle w:val="ListBullet"/>
      </w:pPr>
      <w:r>
        <w:rPr>
          <w:rFonts w:ascii="Arial" w:hAnsi="Arial"/>
          <w:b w:val="0"/>
          <w:sz w:val="22"/>
        </w:rPr>
        <w:t>Release about 306 bed-days a year.</w:t>
      </w:r>
    </w:p>
    <w:p>
      <w:pPr>
        <w:pStyle w:val="ListBullet"/>
      </w:pPr>
      <w:r>
        <w:rPr>
          <w:rFonts w:ascii="Arial" w:hAnsi="Arial"/>
          <w:b w:val="0"/>
          <w:sz w:val="22"/>
        </w:rPr>
        <w:t>Keep booked robot utilisation at or above 85% (currently planned at 100%).</w:t>
      </w:r>
    </w:p>
    <w:p>
      <w:pPr>
        <w:pStyle w:val="ListBullet"/>
      </w:pPr>
      <w:r>
        <w:rPr>
          <w:rFonts w:ascii="Arial" w:hAnsi="Arial"/>
          <w:b w:val="0"/>
          <w:sz w:val="22"/>
        </w:rPr>
        <w:t>Report outcomes at 12 months against this case and to the NICE evidence generation plan.</w:t>
      </w:r>
    </w:p>
    <w:p>
      <w:r>
        <w:br w:type="page"/>
      </w:r>
    </w:p>
    <w:p>
      <w:pPr>
        <w:pStyle w:val="Heading1"/>
      </w:pPr>
      <w:r>
        <w:t>3. Economic case</w:t>
      </w:r>
    </w:p>
    <w:p>
      <w:pPr>
        <w:pStyle w:val="Heading2"/>
      </w:pPr>
      <w:r>
        <w:t>3.1 Method</w:t>
      </w:r>
    </w:p>
    <w:p>
      <w:r>
        <w:rPr>
          <w:rFonts w:ascii="Arial" w:hAnsi="Arial"/>
          <w:b w:val="0"/>
          <w:sz w:val="22"/>
        </w:rPr>
        <w:t>The appraisal is a 30-day cost-consequence analysis. Costs are set alongside patient consequences (open operations avoided, bed-days, conversions, complications, returns to theatre and readmissions) without combining them into quality-adjusted life-years. Robust one-year quality-of-life data comparing robotic, laparoscopic and open surgery are not available for most procedures, so quality-adjusted life-years would have to be assumed rather than measured. Longer-term functional, oncological and hernia outcomes are not modelled.</w:t>
      </w:r>
    </w:p>
    <w:p>
      <w:r>
        <w:rPr>
          <w:rFonts w:ascii="Arial" w:hAnsi="Arial"/>
          <w:b w:val="0"/>
          <w:sz w:val="22"/>
        </w:rPr>
        <w:t>For each specialty, the analysis asks what would have happened to the same patients without a robot (open or laparoscopic surgery, or robotic surgery at another centre in one sensitivity scenario) and applies the 30-day differences to that mix. The headline is the extra cost to the trust with no deduction for 30-day cost avoided. The economic view (section 3.7) deducts cost avoided and uses discounted cash at the HM Treasury Green Book rate of 3.5%, with capital in year 0 and residual value credited at year 5. Activity above 700 robotic cases per robot per year is flagged as an advisory guardrail; it is not cut.</w:t>
      </w:r>
    </w:p>
    <w:p>
      <w:r>
        <w:rPr>
          <w:rFonts w:ascii="Arial" w:hAnsi="Arial"/>
          <w:b w:val="0"/>
          <w:sz w:val="22"/>
        </w:rPr>
        <w:t>Activity comes from a two-week theatre template: each session's list type and its major, medium and minor cases are mapped to procedures (Appendix A), counted over the fortnight and extrapolated to a year. Where annual demand is entered, delivered cases are limited to demand and any shortfall is reported.</w:t>
      </w:r>
    </w:p>
    <w:p>
      <w:pPr>
        <w:pStyle w:val="Heading2"/>
      </w:pPr>
      <w:r>
        <w:t>3.2 Options appraised</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826"/>
        <w:gridCol w:w="1150"/>
        <w:gridCol w:w="1050"/>
        <w:gridCol w:w="1100"/>
        <w:gridCol w:w="1300"/>
        <w:gridCol w:w="1300"/>
        <w:gridCol w:w="1300"/>
      </w:tblGrid>
      <w:tr>
        <w:trPr>
          <w:tblHeader w:val="true"/>
        </w:trPr>
        <w:tc>
          <w:tcPr>
            <w:tcW w:type="dxa" w:w="1826"/>
            <w:shd w:val="clear" w:color="auto" w:fill="1F3864"/>
          </w:tcPr>
          <w:p>
            <w:pPr>
              <w:spacing w:after="0" w:before="0"/>
            </w:pPr>
            <w:r/>
            <w:r>
              <w:rPr>
                <w:rFonts w:ascii="Arial" w:hAnsi="Arial"/>
                <w:b/>
                <w:color w:val="FFFFFF"/>
                <w:sz w:val="17"/>
              </w:rPr>
              <w:t>Option</w:t>
            </w:r>
          </w:p>
        </w:tc>
        <w:tc>
          <w:tcPr>
            <w:tcW w:type="dxa" w:w="1150"/>
            <w:shd w:val="clear" w:color="auto" w:fill="1F3864"/>
          </w:tcPr>
          <w:p>
            <w:pPr>
              <w:spacing w:after="0" w:before="0"/>
            </w:pPr>
            <w:r/>
            <w:r>
              <w:rPr>
                <w:rFonts w:ascii="Arial" w:hAnsi="Arial"/>
                <w:b/>
                <w:color w:val="FFFFFF"/>
                <w:sz w:val="17"/>
              </w:rPr>
              <w:t>Utilisation</w:t>
            </w:r>
          </w:p>
        </w:tc>
        <w:tc>
          <w:tcPr>
            <w:tcW w:type="dxa" w:w="1050"/>
            <w:shd w:val="clear" w:color="auto" w:fill="1F3864"/>
          </w:tcPr>
          <w:p>
            <w:pPr>
              <w:spacing w:after="0" w:before="0"/>
            </w:pPr>
            <w:r/>
            <w:r>
              <w:rPr>
                <w:rFonts w:ascii="Arial" w:hAnsi="Arial"/>
                <w:b/>
                <w:color w:val="FFFFFF"/>
                <w:sz w:val="17"/>
              </w:rPr>
              <w:t>Cases (yr 3)</w:t>
            </w:r>
          </w:p>
        </w:tc>
        <w:tc>
          <w:tcPr>
            <w:tcW w:type="dxa" w:w="1100"/>
            <w:shd w:val="clear" w:color="auto" w:fill="1F3864"/>
          </w:tcPr>
          <w:p>
            <w:pPr>
              <w:spacing w:after="0" w:before="0"/>
            </w:pPr>
            <w:r/>
            <w:r>
              <w:rPr>
                <w:rFonts w:ascii="Arial" w:hAnsi="Arial"/>
                <w:b/>
                <w:color w:val="FFFFFF"/>
                <w:sz w:val="17"/>
              </w:rPr>
              <w:t>Bed-days (yr 3)</w:t>
            </w:r>
          </w:p>
        </w:tc>
        <w:tc>
          <w:tcPr>
            <w:tcW w:type="dxa" w:w="1300"/>
            <w:shd w:val="clear" w:color="auto" w:fill="1F3864"/>
          </w:tcPr>
          <w:p>
            <w:pPr>
              <w:spacing w:after="0" w:before="0"/>
            </w:pPr>
            <w:r/>
            <w:r>
              <w:rPr>
                <w:rFonts w:ascii="Arial" w:hAnsi="Arial"/>
                <w:b/>
                <w:color w:val="FFFFFF"/>
                <w:sz w:val="17"/>
              </w:rPr>
              <w:t>5-year extra cost</w:t>
            </w:r>
          </w:p>
        </w:tc>
        <w:tc>
          <w:tcPr>
            <w:tcW w:type="dxa" w:w="1300"/>
            <w:shd w:val="clear" w:color="auto" w:fill="1F3864"/>
          </w:tcPr>
          <w:p>
            <w:pPr>
              <w:spacing w:after="0" w:before="0"/>
            </w:pPr>
            <w:r/>
            <w:r>
              <w:rPr>
                <w:rFonts w:ascii="Arial" w:hAnsi="Arial"/>
                <w:b/>
                <w:color w:val="FFFFFF"/>
                <w:sz w:val="17"/>
              </w:rPr>
              <w:t>Per bed-day released</w:t>
            </w:r>
          </w:p>
        </w:tc>
        <w:tc>
          <w:tcPr>
            <w:tcW w:type="dxa" w:w="1300"/>
            <w:shd w:val="clear" w:color="auto" w:fill="1F3864"/>
          </w:tcPr>
          <w:p>
            <w:pPr>
              <w:spacing w:after="0" w:before="0"/>
            </w:pPr>
            <w:r/>
            <w:r>
              <w:rPr>
                <w:rFonts w:ascii="Arial" w:hAnsi="Arial"/>
                <w:b/>
                <w:color w:val="FFFFFF"/>
                <w:sz w:val="17"/>
              </w:rPr>
              <w:t>Net present cost</w:t>
            </w:r>
          </w:p>
        </w:tc>
      </w:tr>
      <w:tr>
        <w:tc>
          <w:tcPr>
            <w:tcW w:type="dxa" w:w="1826"/>
          </w:tcPr>
          <w:p>
            <w:pPr>
              <w:spacing w:after="0" w:before="0"/>
            </w:pPr>
            <w:r>
              <w:rPr>
                <w:rFonts w:ascii="Arial" w:hAnsi="Arial"/>
                <w:b w:val="0"/>
                <w:sz w:val="17"/>
              </w:rPr>
              <w:t>Option 0: no robot</w:t>
            </w:r>
          </w:p>
        </w:tc>
        <w:tc>
          <w:tcPr>
            <w:tcW w:type="dxa" w:w="1150"/>
          </w:tcPr>
          <w:p>
            <w:pPr>
              <w:spacing w:after="0" w:before="0"/>
            </w:pPr>
            <w:r>
              <w:rPr>
                <w:rFonts w:ascii="Arial" w:hAnsi="Arial"/>
                <w:b w:val="0"/>
                <w:sz w:val="17"/>
              </w:rPr>
              <w:t>n/a</w:t>
            </w:r>
          </w:p>
        </w:tc>
        <w:tc>
          <w:tcPr>
            <w:tcW w:type="dxa" w:w="1050"/>
          </w:tcPr>
          <w:p>
            <w:pPr>
              <w:spacing w:after="0" w:before="0"/>
            </w:pPr>
            <w:r>
              <w:rPr>
                <w:rFonts w:ascii="Arial" w:hAnsi="Arial"/>
                <w:b w:val="0"/>
                <w:sz w:val="17"/>
              </w:rPr>
              <w:t>0</w:t>
            </w:r>
          </w:p>
        </w:tc>
        <w:tc>
          <w:tcPr>
            <w:tcW w:type="dxa" w:w="1100"/>
          </w:tcPr>
          <w:p>
            <w:pPr>
              <w:spacing w:after="0" w:before="0"/>
            </w:pPr>
            <w:r>
              <w:rPr>
                <w:rFonts w:ascii="Arial" w:hAnsi="Arial"/>
                <w:b w:val="0"/>
                <w:sz w:val="17"/>
              </w:rPr>
              <w:t>0</w:t>
            </w:r>
          </w:p>
        </w:tc>
        <w:tc>
          <w:tcPr>
            <w:tcW w:type="dxa" w:w="1300"/>
          </w:tcPr>
          <w:p>
            <w:pPr>
              <w:spacing w:after="0" w:before="0"/>
            </w:pPr>
            <w:r>
              <w:rPr>
                <w:rFonts w:ascii="Arial" w:hAnsi="Arial"/>
                <w:b w:val="0"/>
                <w:sz w:val="17"/>
              </w:rPr>
              <w:t>£0</w:t>
            </w:r>
          </w:p>
        </w:tc>
        <w:tc>
          <w:tcPr>
            <w:tcW w:type="dxa" w:w="1300"/>
          </w:tcPr>
          <w:p>
            <w:pPr>
              <w:spacing w:after="0" w:before="0"/>
            </w:pPr>
            <w:r>
              <w:rPr>
                <w:rFonts w:ascii="Arial" w:hAnsi="Arial"/>
                <w:b w:val="0"/>
                <w:sz w:val="17"/>
              </w:rPr>
              <w:t>n/a</w:t>
            </w:r>
          </w:p>
        </w:tc>
        <w:tc>
          <w:tcPr>
            <w:tcW w:type="dxa" w:w="1300"/>
          </w:tcPr>
          <w:p>
            <w:pPr>
              <w:spacing w:after="0" w:before="0"/>
            </w:pPr>
            <w:r>
              <w:rPr>
                <w:rFonts w:ascii="Arial" w:hAnsi="Arial"/>
                <w:b w:val="0"/>
                <w:sz w:val="17"/>
              </w:rPr>
              <w:t>£0</w:t>
            </w:r>
          </w:p>
        </w:tc>
      </w:tr>
      <w:tr>
        <w:tc>
          <w:tcPr>
            <w:tcW w:type="dxa" w:w="1826"/>
            <w:shd w:val="clear" w:color="auto" w:fill="F2F2F2"/>
          </w:tcPr>
          <w:p>
            <w:pPr>
              <w:spacing w:after="0" w:before="0"/>
            </w:pPr>
            <w:r>
              <w:rPr>
                <w:rFonts w:ascii="Arial" w:hAnsi="Arial"/>
                <w:b w:val="0"/>
                <w:sz w:val="17"/>
              </w:rPr>
              <w:t>Option 1: 1 robot</w:t>
            </w:r>
          </w:p>
        </w:tc>
        <w:tc>
          <w:tcPr>
            <w:tcW w:type="dxa" w:w="1150"/>
            <w:shd w:val="clear" w:color="auto" w:fill="F2F2F2"/>
          </w:tcPr>
          <w:p>
            <w:pPr>
              <w:spacing w:after="0" w:before="0"/>
            </w:pPr>
            <w:r>
              <w:rPr>
                <w:rFonts w:ascii="Arial" w:hAnsi="Arial"/>
                <w:b w:val="0"/>
                <w:sz w:val="17"/>
              </w:rPr>
              <w:t>100%</w:t>
            </w:r>
          </w:p>
        </w:tc>
        <w:tc>
          <w:tcPr>
            <w:tcW w:type="dxa" w:w="1050"/>
            <w:shd w:val="clear" w:color="auto" w:fill="F2F2F2"/>
          </w:tcPr>
          <w:p>
            <w:pPr>
              <w:spacing w:after="0" w:before="0"/>
            </w:pPr>
            <w:r>
              <w:rPr>
                <w:rFonts w:ascii="Arial" w:hAnsi="Arial"/>
                <w:b w:val="0"/>
                <w:sz w:val="17"/>
              </w:rPr>
              <w:t>410</w:t>
            </w:r>
          </w:p>
        </w:tc>
        <w:tc>
          <w:tcPr>
            <w:tcW w:type="dxa" w:w="1100"/>
            <w:shd w:val="clear" w:color="auto" w:fill="F2F2F2"/>
          </w:tcPr>
          <w:p>
            <w:pPr>
              <w:spacing w:after="0" w:before="0"/>
            </w:pPr>
            <w:r>
              <w:rPr>
                <w:rFonts w:ascii="Arial" w:hAnsi="Arial"/>
                <w:b w:val="0"/>
                <w:sz w:val="17"/>
              </w:rPr>
              <w:t>306</w:t>
            </w:r>
          </w:p>
        </w:tc>
        <w:tc>
          <w:tcPr>
            <w:tcW w:type="dxa" w:w="1300"/>
            <w:shd w:val="clear" w:color="auto" w:fill="F2F2F2"/>
          </w:tcPr>
          <w:p>
            <w:pPr>
              <w:spacing w:after="0" w:before="0"/>
            </w:pPr>
            <w:r>
              <w:rPr>
                <w:rFonts w:ascii="Arial" w:hAnsi="Arial"/>
                <w:b w:val="0"/>
                <w:sz w:val="17"/>
              </w:rPr>
              <w:t>£4.98M</w:t>
            </w:r>
          </w:p>
        </w:tc>
        <w:tc>
          <w:tcPr>
            <w:tcW w:type="dxa" w:w="1300"/>
            <w:shd w:val="clear" w:color="auto" w:fill="F2F2F2"/>
          </w:tcPr>
          <w:p>
            <w:pPr>
              <w:spacing w:after="0" w:before="0"/>
            </w:pPr>
            <w:r>
              <w:rPr>
                <w:rFonts w:ascii="Arial" w:hAnsi="Arial"/>
                <w:b w:val="0"/>
                <w:sz w:val="17"/>
              </w:rPr>
              <w:t>£3,759</w:t>
            </w:r>
          </w:p>
        </w:tc>
        <w:tc>
          <w:tcPr>
            <w:tcW w:type="dxa" w:w="1300"/>
            <w:shd w:val="clear" w:color="auto" w:fill="F2F2F2"/>
          </w:tcPr>
          <w:p>
            <w:pPr>
              <w:spacing w:after="0" w:before="0"/>
            </w:pPr>
            <w:r>
              <w:rPr>
                <w:rFonts w:ascii="Arial" w:hAnsi="Arial"/>
                <w:b w:val="0"/>
                <w:sz w:val="17"/>
              </w:rPr>
              <w:t>£4.63M</w:t>
            </w:r>
          </w:p>
        </w:tc>
      </w:tr>
      <w:tr>
        <w:tc>
          <w:tcPr>
            <w:tcW w:type="dxa" w:w="1826"/>
          </w:tcPr>
          <w:p>
            <w:pPr>
              <w:spacing w:after="0" w:before="0"/>
            </w:pPr>
            <w:r>
              <w:rPr>
                <w:rFonts w:ascii="Arial" w:hAnsi="Arial"/>
                <w:b w:val="0"/>
                <w:sz w:val="17"/>
              </w:rPr>
              <w:t>Option 2: 2 robots</w:t>
            </w:r>
          </w:p>
        </w:tc>
        <w:tc>
          <w:tcPr>
            <w:tcW w:type="dxa" w:w="1150"/>
          </w:tcPr>
          <w:p>
            <w:pPr>
              <w:spacing w:after="0" w:before="0"/>
            </w:pPr>
            <w:r>
              <w:rPr>
                <w:rFonts w:ascii="Arial" w:hAnsi="Arial"/>
                <w:b w:val="0"/>
                <w:sz w:val="17"/>
              </w:rPr>
              <w:t>58%</w:t>
            </w:r>
          </w:p>
        </w:tc>
        <w:tc>
          <w:tcPr>
            <w:tcW w:type="dxa" w:w="1050"/>
          </w:tcPr>
          <w:p>
            <w:pPr>
              <w:spacing w:after="0" w:before="0"/>
            </w:pPr>
            <w:r>
              <w:rPr>
                <w:rFonts w:ascii="Arial" w:hAnsi="Arial"/>
                <w:b w:val="0"/>
                <w:sz w:val="17"/>
              </w:rPr>
              <w:t>465</w:t>
            </w:r>
          </w:p>
        </w:tc>
        <w:tc>
          <w:tcPr>
            <w:tcW w:type="dxa" w:w="1100"/>
          </w:tcPr>
          <w:p>
            <w:pPr>
              <w:spacing w:after="0" w:before="0"/>
            </w:pPr>
            <w:r>
              <w:rPr>
                <w:rFonts w:ascii="Arial" w:hAnsi="Arial"/>
                <w:b w:val="0"/>
                <w:sz w:val="17"/>
              </w:rPr>
              <w:t>350</w:t>
            </w:r>
          </w:p>
        </w:tc>
        <w:tc>
          <w:tcPr>
            <w:tcW w:type="dxa" w:w="1300"/>
          </w:tcPr>
          <w:p>
            <w:pPr>
              <w:spacing w:after="0" w:before="0"/>
            </w:pPr>
            <w:r>
              <w:rPr>
                <w:rFonts w:ascii="Arial" w:hAnsi="Arial"/>
                <w:b w:val="0"/>
                <w:sz w:val="17"/>
              </w:rPr>
              <w:t>£7.36M</w:t>
            </w:r>
          </w:p>
        </w:tc>
        <w:tc>
          <w:tcPr>
            <w:tcW w:type="dxa" w:w="1300"/>
          </w:tcPr>
          <w:p>
            <w:pPr>
              <w:spacing w:after="0" w:before="0"/>
            </w:pPr>
            <w:r>
              <w:rPr>
                <w:rFonts w:ascii="Arial" w:hAnsi="Arial"/>
                <w:b w:val="0"/>
                <w:sz w:val="17"/>
              </w:rPr>
              <w:t>£4,845</w:t>
            </w:r>
          </w:p>
        </w:tc>
        <w:tc>
          <w:tcPr>
            <w:tcW w:type="dxa" w:w="1300"/>
          </w:tcPr>
          <w:p>
            <w:pPr>
              <w:spacing w:after="0" w:before="0"/>
            </w:pPr>
            <w:r>
              <w:rPr>
                <w:rFonts w:ascii="Arial" w:hAnsi="Arial"/>
                <w:b w:val="0"/>
                <w:sz w:val="17"/>
              </w:rPr>
              <w:t>£7.46M</w:t>
            </w:r>
          </w:p>
        </w:tc>
      </w:tr>
    </w:tbl>
    <w:p/>
    <w:p>
      <w:r>
        <w:rPr>
          <w:rFonts w:ascii="Arial" w:hAnsi="Arial"/>
          <w:b w:val="0"/>
          <w:sz w:val="22"/>
        </w:rPr>
        <w:t>Preferred option: 1 robot. Option 0 avoids all programme costs but delivers none of the patient consequences above.</w:t>
      </w:r>
    </w:p>
    <w:p>
      <w:pPr>
        <w:pStyle w:val="Heading2"/>
      </w:pPr>
      <w:r>
        <w:t>3.3 Platform comparison</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400"/>
        <w:gridCol w:w="1500"/>
        <w:gridCol w:w="1200"/>
        <w:gridCol w:w="1600"/>
        <w:gridCol w:w="1326"/>
      </w:tblGrid>
      <w:tr>
        <w:trPr>
          <w:tblHeader w:val="true"/>
        </w:trPr>
        <w:tc>
          <w:tcPr>
            <w:tcW w:type="dxa" w:w="3400"/>
            <w:shd w:val="clear" w:color="auto" w:fill="1F3864"/>
          </w:tcPr>
          <w:p>
            <w:pPr>
              <w:spacing w:after="0" w:before="0"/>
            </w:pPr>
            <w:r/>
            <w:r>
              <w:rPr>
                <w:rFonts w:ascii="Arial" w:hAnsi="Arial"/>
                <w:b/>
                <w:color w:val="FFFFFF"/>
                <w:sz w:val="19"/>
              </w:rPr>
              <w:t>Platform</w:t>
            </w:r>
          </w:p>
        </w:tc>
        <w:tc>
          <w:tcPr>
            <w:tcW w:type="dxa" w:w="1500"/>
            <w:shd w:val="clear" w:color="auto" w:fill="1F3864"/>
          </w:tcPr>
          <w:p>
            <w:pPr>
              <w:spacing w:after="0" w:before="0"/>
            </w:pPr>
            <w:r/>
            <w:r>
              <w:rPr>
                <w:rFonts w:ascii="Arial" w:hAnsi="Arial"/>
                <w:b/>
                <w:color w:val="FFFFFF"/>
                <w:sz w:val="19"/>
              </w:rPr>
              <w:t>5-year extra cost</w:t>
            </w:r>
          </w:p>
        </w:tc>
        <w:tc>
          <w:tcPr>
            <w:tcW w:type="dxa" w:w="1200"/>
            <w:shd w:val="clear" w:color="auto" w:fill="1F3864"/>
          </w:tcPr>
          <w:p>
            <w:pPr>
              <w:spacing w:after="0" w:before="0"/>
            </w:pPr>
            <w:r/>
            <w:r>
              <w:rPr>
                <w:rFonts w:ascii="Arial" w:hAnsi="Arial"/>
                <w:b/>
                <w:color w:val="FFFFFF"/>
                <w:sz w:val="19"/>
              </w:rPr>
              <w:t>Per case</w:t>
            </w:r>
          </w:p>
        </w:tc>
        <w:tc>
          <w:tcPr>
            <w:tcW w:type="dxa" w:w="1600"/>
            <w:shd w:val="clear" w:color="auto" w:fill="1F3864"/>
          </w:tcPr>
          <w:p>
            <w:pPr>
              <w:spacing w:after="0" w:before="0"/>
            </w:pPr>
            <w:r/>
            <w:r>
              <w:rPr>
                <w:rFonts w:ascii="Arial" w:hAnsi="Arial"/>
                <w:b/>
                <w:color w:val="FFFFFF"/>
                <w:sz w:val="19"/>
              </w:rPr>
              <w:t>Net present cost</w:t>
            </w:r>
          </w:p>
        </w:tc>
        <w:tc>
          <w:tcPr>
            <w:tcW w:type="dxa" w:w="1326"/>
            <w:shd w:val="clear" w:color="auto" w:fill="1F3864"/>
          </w:tcPr>
          <w:p>
            <w:pPr>
              <w:spacing w:after="0" w:before="0"/>
            </w:pPr>
            <w:r/>
            <w:r>
              <w:rPr>
                <w:rFonts w:ascii="Arial" w:hAnsi="Arial"/>
                <w:b/>
                <w:color w:val="FFFFFF"/>
                <w:sz w:val="19"/>
              </w:rPr>
              <w:t>Price basis</w:t>
            </w:r>
          </w:p>
        </w:tc>
      </w:tr>
      <w:tr>
        <w:tc>
          <w:tcPr>
            <w:tcW w:type="dxa" w:w="3400"/>
          </w:tcPr>
          <w:p>
            <w:pPr>
              <w:spacing w:after="0" w:before="0"/>
            </w:pPr>
            <w:r>
              <w:rPr>
                <w:rFonts w:ascii="Arial" w:hAnsi="Arial"/>
                <w:b w:val="0"/>
                <w:sz w:val="19"/>
              </w:rPr>
              <w:t>Platform A: next-generation multi-port (purchase)</w:t>
            </w:r>
          </w:p>
        </w:tc>
        <w:tc>
          <w:tcPr>
            <w:tcW w:type="dxa" w:w="1500"/>
          </w:tcPr>
          <w:p>
            <w:pPr>
              <w:spacing w:after="0" w:before="0"/>
            </w:pPr>
            <w:r>
              <w:rPr>
                <w:rFonts w:ascii="Arial" w:hAnsi="Arial"/>
                <w:b w:val="0"/>
                <w:sz w:val="19"/>
              </w:rPr>
              <w:t>£5.48M</w:t>
            </w:r>
          </w:p>
        </w:tc>
        <w:tc>
          <w:tcPr>
            <w:tcW w:type="dxa" w:w="1200"/>
          </w:tcPr>
          <w:p>
            <w:pPr>
              <w:spacing w:after="0" w:before="0"/>
            </w:pPr>
            <w:r>
              <w:rPr>
                <w:rFonts w:ascii="Arial" w:hAnsi="Arial"/>
                <w:b w:val="0"/>
                <w:sz w:val="19"/>
              </w:rPr>
              <w:t>£2,904</w:t>
            </w:r>
          </w:p>
        </w:tc>
        <w:tc>
          <w:tcPr>
            <w:tcW w:type="dxa" w:w="1600"/>
          </w:tcPr>
          <w:p>
            <w:pPr>
              <w:spacing w:after="0" w:before="0"/>
            </w:pPr>
            <w:r>
              <w:rPr>
                <w:rFonts w:ascii="Arial" w:hAnsi="Arial"/>
                <w:b w:val="0"/>
                <w:sz w:val="19"/>
              </w:rPr>
              <w:t>£5.08M</w:t>
            </w:r>
          </w:p>
        </w:tc>
        <w:tc>
          <w:tcPr>
            <w:tcW w:type="dxa" w:w="1326"/>
          </w:tcPr>
          <w:p>
            <w:pPr>
              <w:spacing w:after="0" w:before="0"/>
            </w:pPr>
            <w:r>
              <w:rPr>
                <w:rFonts w:ascii="Arial" w:hAnsi="Arial"/>
                <w:b w:val="0"/>
                <w:sz w:val="19"/>
              </w:rPr>
              <w:t>Published anchor</w:t>
            </w:r>
          </w:p>
        </w:tc>
      </w:tr>
      <w:tr>
        <w:tc>
          <w:tcPr>
            <w:tcW w:type="dxa" w:w="3400"/>
            <w:shd w:val="clear" w:color="auto" w:fill="F2F2F2"/>
          </w:tcPr>
          <w:p>
            <w:pPr>
              <w:spacing w:after="0" w:before="0"/>
            </w:pPr>
            <w:r>
              <w:rPr>
                <w:rFonts w:ascii="Arial" w:hAnsi="Arial"/>
                <w:b w:val="0"/>
                <w:sz w:val="19"/>
              </w:rPr>
              <w:t>Platform B: established multi-port (purchase)</w:t>
            </w:r>
          </w:p>
        </w:tc>
        <w:tc>
          <w:tcPr>
            <w:tcW w:type="dxa" w:w="1500"/>
            <w:shd w:val="clear" w:color="auto" w:fill="F2F2F2"/>
          </w:tcPr>
          <w:p>
            <w:pPr>
              <w:spacing w:after="0" w:before="0"/>
            </w:pPr>
            <w:r>
              <w:rPr>
                <w:rFonts w:ascii="Arial" w:hAnsi="Arial"/>
                <w:b w:val="0"/>
                <w:sz w:val="19"/>
              </w:rPr>
              <w:t>£4.98M</w:t>
            </w:r>
          </w:p>
        </w:tc>
        <w:tc>
          <w:tcPr>
            <w:tcW w:type="dxa" w:w="1200"/>
            <w:shd w:val="clear" w:color="auto" w:fill="F2F2F2"/>
          </w:tcPr>
          <w:p>
            <w:pPr>
              <w:spacing w:after="0" w:before="0"/>
            </w:pPr>
            <w:r>
              <w:rPr>
                <w:rFonts w:ascii="Arial" w:hAnsi="Arial"/>
                <w:b w:val="0"/>
                <w:sz w:val="19"/>
              </w:rPr>
              <w:t>£2,643</w:t>
            </w:r>
          </w:p>
        </w:tc>
        <w:tc>
          <w:tcPr>
            <w:tcW w:type="dxa" w:w="1600"/>
            <w:shd w:val="clear" w:color="auto" w:fill="F2F2F2"/>
          </w:tcPr>
          <w:p>
            <w:pPr>
              <w:spacing w:after="0" w:before="0"/>
            </w:pPr>
            <w:r>
              <w:rPr>
                <w:rFonts w:ascii="Arial" w:hAnsi="Arial"/>
                <w:b w:val="0"/>
                <w:sz w:val="19"/>
              </w:rPr>
              <w:t>£4.63M</w:t>
            </w:r>
          </w:p>
        </w:tc>
        <w:tc>
          <w:tcPr>
            <w:tcW w:type="dxa" w:w="1326"/>
            <w:shd w:val="clear" w:color="auto" w:fill="F2F2F2"/>
          </w:tcPr>
          <w:p>
            <w:pPr>
              <w:spacing w:after="0" w:before="0"/>
            </w:pPr>
            <w:r>
              <w:rPr>
                <w:rFonts w:ascii="Arial" w:hAnsi="Arial"/>
                <w:b w:val="0"/>
                <w:sz w:val="19"/>
              </w:rPr>
              <w:t>Published anchor</w:t>
            </w:r>
          </w:p>
        </w:tc>
      </w:tr>
      <w:tr>
        <w:tc>
          <w:tcPr>
            <w:tcW w:type="dxa" w:w="3400"/>
          </w:tcPr>
          <w:p>
            <w:pPr>
              <w:spacing w:after="0" w:before="0"/>
            </w:pPr>
            <w:r>
              <w:rPr>
                <w:rFonts w:ascii="Arial" w:hAnsi="Arial"/>
                <w:b w:val="0"/>
                <w:sz w:val="19"/>
              </w:rPr>
              <w:t>Platform C: modular (managed service)</w:t>
            </w:r>
          </w:p>
        </w:tc>
        <w:tc>
          <w:tcPr>
            <w:tcW w:type="dxa" w:w="1500"/>
          </w:tcPr>
          <w:p>
            <w:pPr>
              <w:spacing w:after="0" w:before="0"/>
            </w:pPr>
            <w:r>
              <w:rPr>
                <w:rFonts w:ascii="Arial" w:hAnsi="Arial"/>
                <w:b w:val="0"/>
                <w:sz w:val="19"/>
              </w:rPr>
              <w:t>£5.72M</w:t>
            </w:r>
          </w:p>
        </w:tc>
        <w:tc>
          <w:tcPr>
            <w:tcW w:type="dxa" w:w="1200"/>
          </w:tcPr>
          <w:p>
            <w:pPr>
              <w:spacing w:after="0" w:before="0"/>
            </w:pPr>
            <w:r>
              <w:rPr>
                <w:rFonts w:ascii="Arial" w:hAnsi="Arial"/>
                <w:b w:val="0"/>
                <w:sz w:val="19"/>
              </w:rPr>
              <w:t>£3,034</w:t>
            </w:r>
          </w:p>
        </w:tc>
        <w:tc>
          <w:tcPr>
            <w:tcW w:type="dxa" w:w="1600"/>
          </w:tcPr>
          <w:p>
            <w:pPr>
              <w:spacing w:after="0" w:before="0"/>
            </w:pPr>
            <w:r>
              <w:rPr>
                <w:rFonts w:ascii="Arial" w:hAnsi="Arial"/>
                <w:b w:val="0"/>
                <w:sz w:val="19"/>
              </w:rPr>
              <w:t>£4.52M</w:t>
            </w:r>
          </w:p>
        </w:tc>
        <w:tc>
          <w:tcPr>
            <w:tcW w:type="dxa" w:w="1326"/>
          </w:tcPr>
          <w:p>
            <w:pPr>
              <w:spacing w:after="0" w:before="0"/>
            </w:pPr>
            <w:r>
              <w:rPr>
                <w:rFonts w:ascii="Arial" w:hAnsi="Arial"/>
                <w:b w:val="0"/>
                <w:sz w:val="19"/>
              </w:rPr>
              <w:t>Illustrative</w:t>
            </w:r>
          </w:p>
        </w:tc>
      </w:tr>
    </w:tbl>
    <w:p/>
    <w:p>
      <w:pPr>
        <w:pStyle w:val="Heading2"/>
      </w:pPr>
      <w:r>
        <w:t>3.4 Comparison with a benchmark programme</w:t>
      </w:r>
    </w:p>
    <w:p>
      <w:r>
        <w:rPr>
          <w:rFonts w:ascii="Arial" w:hAnsi="Arial"/>
          <w:b w:val="0"/>
          <w:sz w:val="22"/>
        </w:rPr>
        <w:t>The benchmark describes a well-functioning multi-port programme run through the same model with the same clinical assumptions and unit costs, so the differences come from volume, case mix and price. Its case mix is renormalised from the three specialties (urology, general surgery and gynaecology) that made up 90% of UK NHS robotic procedures in 2024, so other specialties are excluded. Each benchmark value is sourced; values without a published source are labelled as assumptions.</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700"/>
        <w:gridCol w:w="1300"/>
        <w:gridCol w:w="1300"/>
        <w:gridCol w:w="3726"/>
      </w:tblGrid>
      <w:tr>
        <w:trPr>
          <w:tblHeader w:val="true"/>
        </w:trPr>
        <w:tc>
          <w:tcPr>
            <w:tcW w:type="dxa" w:w="2700"/>
            <w:shd w:val="clear" w:color="auto" w:fill="1F3864"/>
          </w:tcPr>
          <w:p>
            <w:pPr>
              <w:spacing w:after="0" w:before="0"/>
            </w:pPr>
            <w:r/>
            <w:r>
              <w:rPr>
                <w:rFonts w:ascii="Arial" w:hAnsi="Arial"/>
                <w:b/>
                <w:color w:val="FFFFFF"/>
                <w:sz w:val="17"/>
              </w:rPr>
              <w:t>Measure</w:t>
            </w:r>
          </w:p>
        </w:tc>
        <w:tc>
          <w:tcPr>
            <w:tcW w:type="dxa" w:w="1300"/>
            <w:shd w:val="clear" w:color="auto" w:fill="1F3864"/>
          </w:tcPr>
          <w:p>
            <w:pPr>
              <w:spacing w:after="0" w:before="0"/>
            </w:pPr>
            <w:r/>
            <w:r>
              <w:rPr>
                <w:rFonts w:ascii="Arial" w:hAnsi="Arial"/>
                <w:b/>
                <w:color w:val="FFFFFF"/>
                <w:sz w:val="17"/>
              </w:rPr>
              <w:t>This proposal</w:t>
            </w:r>
          </w:p>
        </w:tc>
        <w:tc>
          <w:tcPr>
            <w:tcW w:type="dxa" w:w="1300"/>
            <w:shd w:val="clear" w:color="auto" w:fill="1F3864"/>
          </w:tcPr>
          <w:p>
            <w:pPr>
              <w:spacing w:after="0" w:before="0"/>
            </w:pPr>
            <w:r/>
            <w:r>
              <w:rPr>
                <w:rFonts w:ascii="Arial" w:hAnsi="Arial"/>
                <w:b/>
                <w:color w:val="FFFFFF"/>
                <w:sz w:val="17"/>
              </w:rPr>
              <w:t>Benchmark</w:t>
            </w:r>
          </w:p>
        </w:tc>
        <w:tc>
          <w:tcPr>
            <w:tcW w:type="dxa" w:w="3726"/>
            <w:shd w:val="clear" w:color="auto" w:fill="1F3864"/>
          </w:tcPr>
          <w:p>
            <w:pPr>
              <w:spacing w:after="0" w:before="0"/>
            </w:pPr>
            <w:r/>
            <w:r>
              <w:rPr>
                <w:rFonts w:ascii="Arial" w:hAnsi="Arial"/>
                <w:b/>
                <w:color w:val="FFFFFF"/>
                <w:sz w:val="17"/>
              </w:rPr>
              <w:t>Benchmark source</w:t>
            </w:r>
          </w:p>
        </w:tc>
      </w:tr>
      <w:tr>
        <w:tc>
          <w:tcPr>
            <w:tcW w:type="dxa" w:w="2700"/>
          </w:tcPr>
          <w:p>
            <w:pPr>
              <w:spacing w:after="0" w:before="0"/>
            </w:pPr>
            <w:r>
              <w:rPr>
                <w:rFonts w:ascii="Arial" w:hAnsi="Arial"/>
                <w:b w:val="0"/>
                <w:sz w:val="17"/>
              </w:rPr>
              <w:t>Robots</w:t>
            </w:r>
          </w:p>
        </w:tc>
        <w:tc>
          <w:tcPr>
            <w:tcW w:type="dxa" w:w="1300"/>
          </w:tcPr>
          <w:p>
            <w:pPr>
              <w:spacing w:after="0" w:before="0"/>
            </w:pPr>
            <w:r>
              <w:rPr>
                <w:rFonts w:ascii="Arial" w:hAnsi="Arial"/>
                <w:b w:val="0"/>
                <w:sz w:val="17"/>
              </w:rPr>
              <w:t>1</w:t>
            </w:r>
          </w:p>
        </w:tc>
        <w:tc>
          <w:tcPr>
            <w:tcW w:type="dxa" w:w="1300"/>
          </w:tcPr>
          <w:p>
            <w:pPr>
              <w:spacing w:after="0" w:before="0"/>
            </w:pPr>
            <w:r>
              <w:rPr>
                <w:rFonts w:ascii="Arial" w:hAnsi="Arial"/>
                <w:b w:val="0"/>
                <w:sz w:val="17"/>
              </w:rPr>
              <w:t>1</w:t>
            </w:r>
          </w:p>
        </w:tc>
        <w:tc>
          <w:tcPr>
            <w:tcW w:type="dxa" w:w="3726"/>
          </w:tcPr>
          <w:p>
            <w:pPr>
              <w:spacing w:after="0" w:before="0"/>
            </w:pPr>
            <w:r>
              <w:rPr>
                <w:rFonts w:ascii="Arial" w:hAnsi="Arial"/>
                <w:b w:val="0"/>
                <w:sz w:val="17"/>
              </w:rPr>
              <w:t>Benchmark set at one robot.</w:t>
            </w:r>
          </w:p>
        </w:tc>
      </w:tr>
      <w:tr>
        <w:tc>
          <w:tcPr>
            <w:tcW w:type="dxa" w:w="2700"/>
            <w:shd w:val="clear" w:color="auto" w:fill="F2F2F2"/>
          </w:tcPr>
          <w:p>
            <w:pPr>
              <w:spacing w:after="0" w:before="0"/>
            </w:pPr>
            <w:r>
              <w:rPr>
                <w:rFonts w:ascii="Arial" w:hAnsi="Arial"/>
                <w:b w:val="0"/>
                <w:sz w:val="17"/>
              </w:rPr>
              <w:t>Robotic cases per robot per year (year 3)</w:t>
            </w:r>
          </w:p>
        </w:tc>
        <w:tc>
          <w:tcPr>
            <w:tcW w:type="dxa" w:w="1300"/>
            <w:shd w:val="clear" w:color="auto" w:fill="F2F2F2"/>
          </w:tcPr>
          <w:p>
            <w:pPr>
              <w:spacing w:after="0" w:before="0"/>
            </w:pPr>
            <w:r>
              <w:rPr>
                <w:rFonts w:ascii="Arial" w:hAnsi="Arial"/>
                <w:b w:val="0"/>
                <w:sz w:val="17"/>
              </w:rPr>
              <w:t>410</w:t>
            </w:r>
          </w:p>
        </w:tc>
        <w:tc>
          <w:tcPr>
            <w:tcW w:type="dxa" w:w="1300"/>
            <w:shd w:val="clear" w:color="auto" w:fill="F2F2F2"/>
          </w:tcPr>
          <w:p>
            <w:pPr>
              <w:spacing w:after="0" w:before="0"/>
            </w:pPr>
            <w:r>
              <w:rPr>
                <w:rFonts w:ascii="Arial" w:hAnsi="Arial"/>
                <w:b w:val="0"/>
                <w:sz w:val="17"/>
              </w:rPr>
              <w:t>550</w:t>
            </w:r>
          </w:p>
        </w:tc>
        <w:tc>
          <w:tcPr>
            <w:tcW w:type="dxa" w:w="3726"/>
            <w:shd w:val="clear" w:color="auto" w:fill="F2F2F2"/>
          </w:tcPr>
          <w:p>
            <w:pPr>
              <w:spacing w:after="0" w:before="0"/>
            </w:pPr>
            <w:r>
              <w:rPr>
                <w:rFonts w:ascii="Arial" w:hAnsi="Arial"/>
                <w:b w:val="0"/>
                <w:sz w:val="17"/>
              </w:rPr>
              <w:t>Assumption set by the project team. No published per-robot benchmark was found. For context, UK NHS trusts reported 36,209 robotic procedures on 212 systems in 2024 (about 171 per system). That study grouped trusts by annual volume, with 500 to 750 procedures a year as its high-volume category (Donald et al, Surg Endosc 2026).</w:t>
            </w:r>
          </w:p>
        </w:tc>
      </w:tr>
      <w:tr>
        <w:tc>
          <w:tcPr>
            <w:tcW w:type="dxa" w:w="2700"/>
          </w:tcPr>
          <w:p>
            <w:pPr>
              <w:spacing w:after="0" w:before="0"/>
            </w:pPr>
            <w:r>
              <w:rPr>
                <w:rFonts w:ascii="Arial" w:hAnsi="Arial"/>
                <w:b w:val="0"/>
                <w:sz w:val="17"/>
              </w:rPr>
              <w:t>Case mix: urology / general and colorectal / gynaecology / other</w:t>
            </w:r>
          </w:p>
        </w:tc>
        <w:tc>
          <w:tcPr>
            <w:tcW w:type="dxa" w:w="1300"/>
          </w:tcPr>
          <w:p>
            <w:pPr>
              <w:spacing w:after="0" w:before="0"/>
            </w:pPr>
            <w:r>
              <w:rPr>
                <w:rFonts w:ascii="Arial" w:hAnsi="Arial"/>
                <w:b w:val="0"/>
                <w:sz w:val="17"/>
              </w:rPr>
              <w:t>12% / 40% / 48% / 0%</w:t>
            </w:r>
          </w:p>
        </w:tc>
        <w:tc>
          <w:tcPr>
            <w:tcW w:type="dxa" w:w="1300"/>
          </w:tcPr>
          <w:p>
            <w:pPr>
              <w:spacing w:after="0" w:before="0"/>
            </w:pPr>
            <w:r>
              <w:rPr>
                <w:rFonts w:ascii="Arial" w:hAnsi="Arial"/>
                <w:b w:val="0"/>
                <w:sz w:val="17"/>
              </w:rPr>
              <w:t>48% / 33% / 19% / 0%</w:t>
            </w:r>
          </w:p>
        </w:tc>
        <w:tc>
          <w:tcPr>
            <w:tcW w:type="dxa" w:w="3726"/>
          </w:tcPr>
          <w:p>
            <w:pPr>
              <w:spacing w:after="0" w:before="0"/>
            </w:pPr>
            <w:r>
              <w:rPr>
                <w:rFonts w:ascii="Arial" w:hAnsi="Arial"/>
                <w:b w:val="0"/>
                <w:sz w:val="17"/>
              </w:rPr>
              <w:t>Donald et al, Surg Endosc 2026: urology, general surgery and gynaecology made up 90% of UK NHS robotic procedures in 2024 (43.2%, 29.6%, 16.8%); the benchmark renormalises these three to 100% and excludes other specialties. Split within specialties: assumption (no published split by procedure found).</w:t>
            </w:r>
          </w:p>
        </w:tc>
      </w:tr>
      <w:tr>
        <w:tc>
          <w:tcPr>
            <w:tcW w:type="dxa" w:w="2700"/>
            <w:shd w:val="clear" w:color="auto" w:fill="F2F2F2"/>
          </w:tcPr>
          <w:p>
            <w:pPr>
              <w:spacing w:after="0" w:before="0"/>
            </w:pPr>
            <w:r>
              <w:rPr>
                <w:rFonts w:ascii="Arial" w:hAnsi="Arial"/>
                <w:b w:val="0"/>
                <w:sz w:val="17"/>
              </w:rPr>
              <w:t>Open operations avoided per robot per year</w:t>
            </w:r>
          </w:p>
        </w:tc>
        <w:tc>
          <w:tcPr>
            <w:tcW w:type="dxa" w:w="1300"/>
            <w:shd w:val="clear" w:color="auto" w:fill="F2F2F2"/>
          </w:tcPr>
          <w:p>
            <w:pPr>
              <w:spacing w:after="0" w:before="0"/>
            </w:pPr>
            <w:r>
              <w:rPr>
                <w:rFonts w:ascii="Arial" w:hAnsi="Arial"/>
                <w:b w:val="0"/>
                <w:sz w:val="17"/>
              </w:rPr>
              <w:t>140</w:t>
            </w:r>
          </w:p>
        </w:tc>
        <w:tc>
          <w:tcPr>
            <w:tcW w:type="dxa" w:w="1300"/>
            <w:shd w:val="clear" w:color="auto" w:fill="F2F2F2"/>
          </w:tcPr>
          <w:p>
            <w:pPr>
              <w:spacing w:after="0" w:before="0"/>
            </w:pPr>
            <w:r>
              <w:rPr>
                <w:rFonts w:ascii="Arial" w:hAnsi="Arial"/>
                <w:b w:val="0"/>
                <w:sz w:val="17"/>
              </w:rPr>
              <w:t>288</w:t>
            </w:r>
          </w:p>
        </w:tc>
        <w:tc>
          <w:tcPr>
            <w:tcW w:type="dxa" w:w="3726"/>
            <w:shd w:val="clear" w:color="auto" w:fill="F2F2F2"/>
          </w:tcPr>
          <w:p>
            <w:pPr>
              <w:spacing w:after="0" w:before="0"/>
            </w:pPr>
            <w:r>
              <w:rPr>
                <w:rFonts w:ascii="Arial" w:hAnsi="Arial"/>
                <w:b w:val="0"/>
                <w:sz w:val="17"/>
              </w:rPr>
              <w:t>Same 30-day assumptions as the trust's case (Appendix A).</w:t>
            </w:r>
          </w:p>
        </w:tc>
      </w:tr>
      <w:tr>
        <w:tc>
          <w:tcPr>
            <w:tcW w:type="dxa" w:w="2700"/>
          </w:tcPr>
          <w:p>
            <w:pPr>
              <w:spacing w:after="0" w:before="0"/>
            </w:pPr>
            <w:r>
              <w:rPr>
                <w:rFonts w:ascii="Arial" w:hAnsi="Arial"/>
                <w:b w:val="0"/>
                <w:sz w:val="17"/>
              </w:rPr>
              <w:t>Bed-days released per robot per year</w:t>
            </w:r>
          </w:p>
        </w:tc>
        <w:tc>
          <w:tcPr>
            <w:tcW w:type="dxa" w:w="1300"/>
          </w:tcPr>
          <w:p>
            <w:pPr>
              <w:spacing w:after="0" w:before="0"/>
            </w:pPr>
            <w:r>
              <w:rPr>
                <w:rFonts w:ascii="Arial" w:hAnsi="Arial"/>
                <w:b w:val="0"/>
                <w:sz w:val="17"/>
              </w:rPr>
              <w:t>306</w:t>
            </w:r>
          </w:p>
        </w:tc>
        <w:tc>
          <w:tcPr>
            <w:tcW w:type="dxa" w:w="1300"/>
          </w:tcPr>
          <w:p>
            <w:pPr>
              <w:spacing w:after="0" w:before="0"/>
            </w:pPr>
            <w:r>
              <w:rPr>
                <w:rFonts w:ascii="Arial" w:hAnsi="Arial"/>
                <w:b w:val="0"/>
                <w:sz w:val="17"/>
              </w:rPr>
              <w:t>632</w:t>
            </w:r>
          </w:p>
        </w:tc>
        <w:tc>
          <w:tcPr>
            <w:tcW w:type="dxa" w:w="3726"/>
          </w:tcPr>
          <w:p>
            <w:pPr>
              <w:spacing w:after="0" w:before="0"/>
            </w:pPr>
            <w:r>
              <w:rPr>
                <w:rFonts w:ascii="Arial" w:hAnsi="Arial"/>
                <w:b w:val="0"/>
                <w:sz w:val="17"/>
              </w:rPr>
              <w:t>Same 30-day assumptions as the trust's case (Appendix A).</w:t>
            </w:r>
          </w:p>
        </w:tc>
      </w:tr>
      <w:tr>
        <w:tc>
          <w:tcPr>
            <w:tcW w:type="dxa" w:w="2700"/>
            <w:shd w:val="clear" w:color="auto" w:fill="F2F2F2"/>
          </w:tcPr>
          <w:p>
            <w:pPr>
              <w:spacing w:after="0" w:before="0"/>
            </w:pPr>
            <w:r>
              <w:rPr>
                <w:rFonts w:ascii="Arial" w:hAnsi="Arial"/>
                <w:b w:val="0"/>
                <w:sz w:val="17"/>
              </w:rPr>
              <w:t>Extra cost per robot per year (year 3)</w:t>
            </w:r>
          </w:p>
        </w:tc>
        <w:tc>
          <w:tcPr>
            <w:tcW w:type="dxa" w:w="1300"/>
            <w:shd w:val="clear" w:color="auto" w:fill="F2F2F2"/>
          </w:tcPr>
          <w:p>
            <w:pPr>
              <w:spacing w:after="0" w:before="0"/>
            </w:pPr>
            <w:r>
              <w:rPr>
                <w:rFonts w:ascii="Arial" w:hAnsi="Arial"/>
                <w:b w:val="0"/>
                <w:sz w:val="17"/>
              </w:rPr>
              <w:t>£1,024,859</w:t>
            </w:r>
          </w:p>
        </w:tc>
        <w:tc>
          <w:tcPr>
            <w:tcW w:type="dxa" w:w="1300"/>
            <w:shd w:val="clear" w:color="auto" w:fill="F2F2F2"/>
          </w:tcPr>
          <w:p>
            <w:pPr>
              <w:spacing w:after="0" w:before="0"/>
            </w:pPr>
            <w:r>
              <w:rPr>
                <w:rFonts w:ascii="Arial" w:hAnsi="Arial"/>
                <w:b w:val="0"/>
                <w:sz w:val="17"/>
              </w:rPr>
              <w:t>£1,216,169</w:t>
            </w:r>
          </w:p>
        </w:tc>
        <w:tc>
          <w:tcPr>
            <w:tcW w:type="dxa" w:w="3726"/>
            <w:shd w:val="clear" w:color="auto" w:fill="F2F2F2"/>
          </w:tcPr>
          <w:p>
            <w:pPr>
              <w:spacing w:after="0" w:before="0"/>
            </w:pPr>
            <w:r>
              <w:rPr>
                <w:rFonts w:ascii="Arial" w:hAnsi="Arial"/>
                <w:b w:val="0"/>
                <w:sz w:val="17"/>
              </w:rPr>
              <w:t>Platform B capital and maintenance, instruments at the standard discount (mid-level costs); same capital source as this proposal.</w:t>
            </w:r>
          </w:p>
        </w:tc>
      </w:tr>
      <w:tr>
        <w:tc>
          <w:tcPr>
            <w:tcW w:type="dxa" w:w="2700"/>
          </w:tcPr>
          <w:p>
            <w:pPr>
              <w:spacing w:after="0" w:before="0"/>
            </w:pPr>
            <w:r>
              <w:rPr>
                <w:rFonts w:ascii="Arial" w:hAnsi="Arial"/>
                <w:b w:val="0"/>
                <w:sz w:val="17"/>
              </w:rPr>
              <w:t>Extra cost per robotic case (five years)</w:t>
            </w:r>
          </w:p>
        </w:tc>
        <w:tc>
          <w:tcPr>
            <w:tcW w:type="dxa" w:w="1300"/>
          </w:tcPr>
          <w:p>
            <w:pPr>
              <w:spacing w:after="0" w:before="0"/>
            </w:pPr>
            <w:r>
              <w:rPr>
                <w:rFonts w:ascii="Arial" w:hAnsi="Arial"/>
                <w:b w:val="0"/>
                <w:sz w:val="17"/>
              </w:rPr>
              <w:t>£2,643</w:t>
            </w:r>
          </w:p>
        </w:tc>
        <w:tc>
          <w:tcPr>
            <w:tcW w:type="dxa" w:w="1300"/>
          </w:tcPr>
          <w:p>
            <w:pPr>
              <w:spacing w:after="0" w:before="0"/>
            </w:pPr>
            <w:r>
              <w:rPr>
                <w:rFonts w:ascii="Arial" w:hAnsi="Arial"/>
                <w:b w:val="0"/>
                <w:sz w:val="17"/>
              </w:rPr>
              <w:t>£2,318</w:t>
            </w:r>
          </w:p>
        </w:tc>
        <w:tc>
          <w:tcPr>
            <w:tcW w:type="dxa" w:w="3726"/>
          </w:tcPr>
          <w:p>
            <w:pPr>
              <w:spacing w:after="0" w:before="0"/>
            </w:pPr>
            <w:r>
              <w:rPr>
                <w:rFonts w:ascii="Arial" w:hAnsi="Arial"/>
                <w:b w:val="0"/>
                <w:sz w:val="17"/>
              </w:rPr>
              <w:t>Calculated by the tool from the rows above.</w:t>
            </w:r>
          </w:p>
        </w:tc>
      </w:tr>
      <w:tr>
        <w:tc>
          <w:tcPr>
            <w:tcW w:type="dxa" w:w="2700"/>
            <w:shd w:val="clear" w:color="auto" w:fill="F2F2F2"/>
          </w:tcPr>
          <w:p>
            <w:pPr>
              <w:spacing w:after="0" w:before="0"/>
            </w:pPr>
            <w:r>
              <w:rPr>
                <w:rFonts w:ascii="Arial" w:hAnsi="Arial"/>
                <w:b w:val="0"/>
                <w:sz w:val="17"/>
              </w:rPr>
              <w:t>Extra cost per open operation avoided</w:t>
            </w:r>
          </w:p>
        </w:tc>
        <w:tc>
          <w:tcPr>
            <w:tcW w:type="dxa" w:w="1300"/>
            <w:shd w:val="clear" w:color="auto" w:fill="F2F2F2"/>
          </w:tcPr>
          <w:p>
            <w:pPr>
              <w:spacing w:after="0" w:before="0"/>
            </w:pPr>
            <w:r>
              <w:rPr>
                <w:rFonts w:ascii="Arial" w:hAnsi="Arial"/>
                <w:b w:val="0"/>
                <w:sz w:val="17"/>
              </w:rPr>
              <w:t>£7,767</w:t>
            </w:r>
          </w:p>
        </w:tc>
        <w:tc>
          <w:tcPr>
            <w:tcW w:type="dxa" w:w="1300"/>
            <w:shd w:val="clear" w:color="auto" w:fill="F2F2F2"/>
          </w:tcPr>
          <w:p>
            <w:pPr>
              <w:spacing w:after="0" w:before="0"/>
            </w:pPr>
            <w:r>
              <w:rPr>
                <w:rFonts w:ascii="Arial" w:hAnsi="Arial"/>
                <w:b w:val="0"/>
                <w:sz w:val="17"/>
              </w:rPr>
              <w:t>£4,433</w:t>
            </w:r>
          </w:p>
        </w:tc>
        <w:tc>
          <w:tcPr>
            <w:tcW w:type="dxa" w:w="3726"/>
            <w:shd w:val="clear" w:color="auto" w:fill="F2F2F2"/>
          </w:tcPr>
          <w:p>
            <w:pPr>
              <w:spacing w:after="0" w:before="0"/>
            </w:pPr>
            <w:r>
              <w:rPr>
                <w:rFonts w:ascii="Arial" w:hAnsi="Arial"/>
                <w:b w:val="0"/>
                <w:sz w:val="17"/>
              </w:rPr>
              <w:t>Calculated by the tool.</w:t>
            </w:r>
          </w:p>
        </w:tc>
      </w:tr>
      <w:tr>
        <w:tc>
          <w:tcPr>
            <w:tcW w:type="dxa" w:w="2700"/>
          </w:tcPr>
          <w:p>
            <w:pPr>
              <w:spacing w:after="0" w:before="0"/>
            </w:pPr>
            <w:r>
              <w:rPr>
                <w:rFonts w:ascii="Arial" w:hAnsi="Arial"/>
                <w:b w:val="0"/>
                <w:sz w:val="17"/>
              </w:rPr>
              <w:t>Extra cost per bed-day released</w:t>
            </w:r>
          </w:p>
        </w:tc>
        <w:tc>
          <w:tcPr>
            <w:tcW w:type="dxa" w:w="1300"/>
          </w:tcPr>
          <w:p>
            <w:pPr>
              <w:spacing w:after="0" w:before="0"/>
            </w:pPr>
            <w:r>
              <w:rPr>
                <w:rFonts w:ascii="Arial" w:hAnsi="Arial"/>
                <w:b w:val="0"/>
                <w:sz w:val="17"/>
              </w:rPr>
              <w:t>£3,759</w:t>
            </w:r>
          </w:p>
        </w:tc>
        <w:tc>
          <w:tcPr>
            <w:tcW w:type="dxa" w:w="1300"/>
          </w:tcPr>
          <w:p>
            <w:pPr>
              <w:spacing w:after="0" w:before="0"/>
            </w:pPr>
            <w:r>
              <w:rPr>
                <w:rFonts w:ascii="Arial" w:hAnsi="Arial"/>
                <w:b w:val="0"/>
                <w:sz w:val="17"/>
              </w:rPr>
              <w:t>£2,141</w:t>
            </w:r>
          </w:p>
        </w:tc>
        <w:tc>
          <w:tcPr>
            <w:tcW w:type="dxa" w:w="3726"/>
          </w:tcPr>
          <w:p>
            <w:pPr>
              <w:spacing w:after="0" w:before="0"/>
            </w:pPr>
            <w:r>
              <w:rPr>
                <w:rFonts w:ascii="Arial" w:hAnsi="Arial"/>
                <w:b w:val="0"/>
                <w:sz w:val="17"/>
              </w:rPr>
              <w:t>Calculated by the tool.</w:t>
            </w:r>
          </w:p>
        </w:tc>
      </w:tr>
    </w:tbl>
    <w:p/>
    <w:p>
      <w:r>
        <w:rPr>
          <w:rFonts w:ascii="Arial" w:hAnsi="Arial"/>
          <w:b w:val="0"/>
          <w:sz w:val="22"/>
        </w:rPr>
        <w:t>The benchmark volume needs about 19.2 half-day session-equivalents a fortnight at this tool's cases per list, against 18 per robot assumed here. High-volume programmes reach it with longer operating days, for example three-session days (GIRFT 2025).</w:t>
      </w:r>
    </w:p>
    <w:p>
      <w:pPr>
        <w:pStyle w:val="Heading2"/>
      </w:pPr>
      <w:r>
        <w:t>3.5 Sensitivity analysis</w:t>
      </w:r>
    </w:p>
    <w:p>
      <w:r>
        <w:rPr>
          <w:rFonts w:ascii="Arial" w:hAnsi="Arial"/>
          <w:b w:val="0"/>
          <w:sz w:val="22"/>
        </w:rPr>
        <w:t>Each assumption is moved on its own to a low and a high value while everything else, including the list plan, stays at the base case. Bars are ordered by how much they move the result. Ranges are placeholders for expert review. The first chart shows the five-year extra cost, which clinical assumptions barely affect; the second shows the extra cost per bed-day released, which they drive.</w:t>
      </w:r>
    </w:p>
    <w:p>
      <w:pPr>
        <w:jc w:val="center"/>
      </w:pPr>
      <w:r>
        <w:drawing>
          <wp:inline xmlns:a="http://schemas.openxmlformats.org/drawingml/2006/main" xmlns:pic="http://schemas.openxmlformats.org/drawingml/2006/picture">
            <wp:extent cx="5760000" cy="3279703"/>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279703"/>
                    </a:xfrm>
                    <a:prstGeom prst="rect"/>
                  </pic:spPr>
                </pic:pic>
              </a:graphicData>
            </a:graphic>
          </wp:inline>
        </w:drawing>
      </w:r>
    </w:p>
    <w:p>
      <w:r>
        <w:rPr>
          <w:rFonts w:ascii="Arial" w:hAnsi="Arial"/>
          <w:b w:val="0"/>
          <w:color w:val="595959"/>
          <w:sz w:val="18"/>
        </w:rPr>
        <w:t>Figure 1. One-way sensitivity: five-year extra cost to the trust.</w:t>
      </w:r>
    </w:p>
    <w:p>
      <w:pPr>
        <w:jc w:val="center"/>
      </w:pPr>
      <w:r>
        <w:drawing>
          <wp:inline xmlns:a="http://schemas.openxmlformats.org/drawingml/2006/main" xmlns:pic="http://schemas.openxmlformats.org/drawingml/2006/picture">
            <wp:extent cx="5760000" cy="3273618"/>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3273618"/>
                    </a:xfrm>
                    <a:prstGeom prst="rect"/>
                  </pic:spPr>
                </pic:pic>
              </a:graphicData>
            </a:graphic>
          </wp:inline>
        </w:drawing>
      </w:r>
    </w:p>
    <w:p>
      <w:r>
        <w:rPr>
          <w:rFonts w:ascii="Arial" w:hAnsi="Arial"/>
          <w:b w:val="0"/>
          <w:color w:val="595959"/>
          <w:sz w:val="18"/>
        </w:rPr>
        <w:t>Figure 2. One-way sensitivity: extra cost per bed-day released.</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300"/>
        <w:gridCol w:w="1300"/>
        <w:gridCol w:w="1300"/>
        <w:gridCol w:w="1563"/>
        <w:gridCol w:w="1563"/>
      </w:tblGrid>
      <w:tr>
        <w:trPr>
          <w:tblHeader w:val="true"/>
        </w:trPr>
        <w:tc>
          <w:tcPr>
            <w:tcW w:type="dxa" w:w="3300"/>
            <w:shd w:val="clear" w:color="auto" w:fill="1F3864"/>
          </w:tcPr>
          <w:p>
            <w:pPr>
              <w:spacing w:after="0" w:before="0"/>
            </w:pPr>
            <w:r/>
            <w:r>
              <w:rPr>
                <w:rFonts w:ascii="Arial" w:hAnsi="Arial"/>
                <w:b/>
                <w:color w:val="FFFFFF"/>
                <w:sz w:val="17"/>
              </w:rPr>
              <w:t>Assumption</w:t>
            </w:r>
          </w:p>
        </w:tc>
        <w:tc>
          <w:tcPr>
            <w:tcW w:type="dxa" w:w="1300"/>
            <w:shd w:val="clear" w:color="auto" w:fill="1F3864"/>
          </w:tcPr>
          <w:p>
            <w:pPr>
              <w:spacing w:after="0" w:before="0"/>
            </w:pPr>
            <w:r/>
            <w:r>
              <w:rPr>
                <w:rFonts w:ascii="Arial" w:hAnsi="Arial"/>
                <w:b/>
                <w:color w:val="FFFFFF"/>
                <w:sz w:val="17"/>
              </w:rPr>
              <w:t>Low</w:t>
            </w:r>
          </w:p>
        </w:tc>
        <w:tc>
          <w:tcPr>
            <w:tcW w:type="dxa" w:w="1300"/>
            <w:shd w:val="clear" w:color="auto" w:fill="1F3864"/>
          </w:tcPr>
          <w:p>
            <w:pPr>
              <w:spacing w:after="0" w:before="0"/>
            </w:pPr>
            <w:r/>
            <w:r>
              <w:rPr>
                <w:rFonts w:ascii="Arial" w:hAnsi="Arial"/>
                <w:b/>
                <w:color w:val="FFFFFF"/>
                <w:sz w:val="17"/>
              </w:rPr>
              <w:t>High</w:t>
            </w:r>
          </w:p>
        </w:tc>
        <w:tc>
          <w:tcPr>
            <w:tcW w:type="dxa" w:w="1563"/>
            <w:shd w:val="clear" w:color="auto" w:fill="1F3864"/>
          </w:tcPr>
          <w:p>
            <w:pPr>
              <w:spacing w:after="0" w:before="0"/>
            </w:pPr>
            <w:r/>
            <w:r>
              <w:rPr>
                <w:rFonts w:ascii="Arial" w:hAnsi="Arial"/>
                <w:b/>
                <w:color w:val="FFFFFF"/>
                <w:sz w:val="17"/>
              </w:rPr>
              <w:t>Extra cost at low</w:t>
            </w:r>
          </w:p>
        </w:tc>
        <w:tc>
          <w:tcPr>
            <w:tcW w:type="dxa" w:w="1563"/>
            <w:shd w:val="clear" w:color="auto" w:fill="1F3864"/>
          </w:tcPr>
          <w:p>
            <w:pPr>
              <w:spacing w:after="0" w:before="0"/>
            </w:pPr>
            <w:r/>
            <w:r>
              <w:rPr>
                <w:rFonts w:ascii="Arial" w:hAnsi="Arial"/>
                <w:b/>
                <w:color w:val="FFFFFF"/>
                <w:sz w:val="17"/>
              </w:rPr>
              <w:t>Extra cost at high</w:t>
            </w:r>
          </w:p>
        </w:tc>
      </w:tr>
      <w:tr>
        <w:tc>
          <w:tcPr>
            <w:tcW w:type="dxa" w:w="3300"/>
          </w:tcPr>
          <w:p>
            <w:pPr>
              <w:spacing w:after="0" w:before="0"/>
            </w:pPr>
            <w:r>
              <w:rPr>
                <w:rFonts w:ascii="Arial" w:hAnsi="Arial"/>
                <w:b w:val="0"/>
                <w:sz w:val="17"/>
              </w:rPr>
              <w:t>Instrument price per case</w:t>
            </w:r>
          </w:p>
        </w:tc>
        <w:tc>
          <w:tcPr>
            <w:tcW w:type="dxa" w:w="1300"/>
          </w:tcPr>
          <w:p>
            <w:pPr>
              <w:spacing w:after="0" w:before="0"/>
            </w:pPr>
            <w:r>
              <w:rPr>
                <w:rFonts w:ascii="Arial" w:hAnsi="Arial"/>
                <w:b w:val="0"/>
                <w:sz w:val="17"/>
              </w:rPr>
              <w:t>30% off list</w:t>
            </w:r>
          </w:p>
        </w:tc>
        <w:tc>
          <w:tcPr>
            <w:tcW w:type="dxa" w:w="1300"/>
          </w:tcPr>
          <w:p>
            <w:pPr>
              <w:spacing w:after="0" w:before="0"/>
            </w:pPr>
            <w:r>
              <w:rPr>
                <w:rFonts w:ascii="Arial" w:hAnsi="Arial"/>
                <w:b w:val="0"/>
                <w:sz w:val="17"/>
              </w:rPr>
              <w:t>list price</w:t>
            </w:r>
          </w:p>
        </w:tc>
        <w:tc>
          <w:tcPr>
            <w:tcW w:type="dxa" w:w="1563"/>
          </w:tcPr>
          <w:p>
            <w:pPr>
              <w:spacing w:after="0" w:before="0"/>
            </w:pPr>
            <w:r>
              <w:rPr>
                <w:rFonts w:ascii="Arial" w:hAnsi="Arial"/>
                <w:b w:val="0"/>
                <w:sz w:val="17"/>
              </w:rPr>
              <w:t>£4,559,851</w:t>
            </w:r>
          </w:p>
        </w:tc>
        <w:tc>
          <w:tcPr>
            <w:tcW w:type="dxa" w:w="1563"/>
          </w:tcPr>
          <w:p>
            <w:pPr>
              <w:spacing w:after="0" w:before="0"/>
            </w:pPr>
            <w:r>
              <w:rPr>
                <w:rFonts w:ascii="Arial" w:hAnsi="Arial"/>
                <w:b w:val="0"/>
                <w:sz w:val="17"/>
              </w:rPr>
              <w:t>£5,408,551</w:t>
            </w:r>
          </w:p>
        </w:tc>
      </w:tr>
      <w:tr>
        <w:tc>
          <w:tcPr>
            <w:tcW w:type="dxa" w:w="3300"/>
            <w:shd w:val="clear" w:color="auto" w:fill="F2F2F2"/>
          </w:tcPr>
          <w:p>
            <w:pPr>
              <w:spacing w:after="0" w:before="0"/>
            </w:pPr>
            <w:r>
              <w:rPr>
                <w:rFonts w:ascii="Arial" w:hAnsi="Arial"/>
                <w:b w:val="0"/>
                <w:sz w:val="17"/>
              </w:rPr>
              <w:t>Capital per robot</w:t>
            </w:r>
          </w:p>
        </w:tc>
        <w:tc>
          <w:tcPr>
            <w:tcW w:type="dxa" w:w="1300"/>
            <w:shd w:val="clear" w:color="auto" w:fill="F2F2F2"/>
          </w:tcPr>
          <w:p>
            <w:pPr>
              <w:spacing w:after="0" w:before="0"/>
            </w:pPr>
            <w:r>
              <w:rPr>
                <w:rFonts w:ascii="Arial" w:hAnsi="Arial"/>
                <w:b w:val="0"/>
                <w:sz w:val="17"/>
              </w:rPr>
              <w:t>-20%</w:t>
            </w:r>
          </w:p>
        </w:tc>
        <w:tc>
          <w:tcPr>
            <w:tcW w:type="dxa" w:w="1300"/>
            <w:shd w:val="clear" w:color="auto" w:fill="F2F2F2"/>
          </w:tcPr>
          <w:p>
            <w:pPr>
              <w:spacing w:after="0" w:before="0"/>
            </w:pPr>
            <w:r>
              <w:rPr>
                <w:rFonts w:ascii="Arial" w:hAnsi="Arial"/>
                <w:b w:val="0"/>
                <w:sz w:val="17"/>
              </w:rPr>
              <w:t>+20%</w:t>
            </w:r>
          </w:p>
        </w:tc>
        <w:tc>
          <w:tcPr>
            <w:tcW w:type="dxa" w:w="1563"/>
            <w:shd w:val="clear" w:color="auto" w:fill="F2F2F2"/>
          </w:tcPr>
          <w:p>
            <w:pPr>
              <w:spacing w:after="0" w:before="0"/>
            </w:pPr>
            <w:r>
              <w:rPr>
                <w:rFonts w:ascii="Arial" w:hAnsi="Arial"/>
                <w:b w:val="0"/>
                <w:sz w:val="17"/>
              </w:rPr>
              <w:t>£4,666,715</w:t>
            </w:r>
          </w:p>
        </w:tc>
        <w:tc>
          <w:tcPr>
            <w:tcW w:type="dxa" w:w="1563"/>
            <w:shd w:val="clear" w:color="auto" w:fill="F2F2F2"/>
          </w:tcPr>
          <w:p>
            <w:pPr>
              <w:spacing w:after="0" w:before="0"/>
            </w:pPr>
            <w:r>
              <w:rPr>
                <w:rFonts w:ascii="Arial" w:hAnsi="Arial"/>
                <w:b w:val="0"/>
                <w:sz w:val="17"/>
              </w:rPr>
              <w:t>£5,301,687</w:t>
            </w:r>
          </w:p>
        </w:tc>
      </w:tr>
      <w:tr>
        <w:tc>
          <w:tcPr>
            <w:tcW w:type="dxa" w:w="3300"/>
          </w:tcPr>
          <w:p>
            <w:pPr>
              <w:spacing w:after="0" w:before="0"/>
            </w:pPr>
            <w:r>
              <w:rPr>
                <w:rFonts w:ascii="Arial" w:hAnsi="Arial"/>
                <w:b w:val="0"/>
                <w:sz w:val="17"/>
              </w:rPr>
              <w:t>Surgical first assistant per robot</w:t>
            </w:r>
          </w:p>
        </w:tc>
        <w:tc>
          <w:tcPr>
            <w:tcW w:type="dxa" w:w="1300"/>
          </w:tcPr>
          <w:p>
            <w:pPr>
              <w:spacing w:after="0" w:before="0"/>
            </w:pPr>
            <w:r>
              <w:rPr>
                <w:rFonts w:ascii="Arial" w:hAnsi="Arial"/>
                <w:b w:val="0"/>
                <w:sz w:val="17"/>
              </w:rPr>
              <w:t>0 WTE</w:t>
            </w:r>
          </w:p>
        </w:tc>
        <w:tc>
          <w:tcPr>
            <w:tcW w:type="dxa" w:w="1300"/>
          </w:tcPr>
          <w:p>
            <w:pPr>
              <w:spacing w:after="0" w:before="0"/>
            </w:pPr>
            <w:r>
              <w:rPr>
                <w:rFonts w:ascii="Arial" w:hAnsi="Arial"/>
                <w:b w:val="0"/>
                <w:sz w:val="17"/>
              </w:rPr>
              <w:t>2 WTE</w:t>
            </w:r>
          </w:p>
        </w:tc>
        <w:tc>
          <w:tcPr>
            <w:tcW w:type="dxa" w:w="1563"/>
          </w:tcPr>
          <w:p>
            <w:pPr>
              <w:spacing w:after="0" w:before="0"/>
            </w:pPr>
            <w:r>
              <w:rPr>
                <w:rFonts w:ascii="Arial" w:hAnsi="Arial"/>
                <w:b w:val="0"/>
                <w:sz w:val="17"/>
              </w:rPr>
              <w:t>£4,684,201</w:t>
            </w:r>
          </w:p>
        </w:tc>
        <w:tc>
          <w:tcPr>
            <w:tcW w:type="dxa" w:w="1563"/>
          </w:tcPr>
          <w:p>
            <w:pPr>
              <w:spacing w:after="0" w:before="0"/>
            </w:pPr>
            <w:r>
              <w:rPr>
                <w:rFonts w:ascii="Arial" w:hAnsi="Arial"/>
                <w:b w:val="0"/>
                <w:sz w:val="17"/>
              </w:rPr>
              <w:t>£5,284,201</w:t>
            </w:r>
          </w:p>
        </w:tc>
      </w:tr>
      <w:tr>
        <w:tc>
          <w:tcPr>
            <w:tcW w:type="dxa" w:w="3300"/>
            <w:shd w:val="clear" w:color="auto" w:fill="F2F2F2"/>
          </w:tcPr>
          <w:p>
            <w:pPr>
              <w:spacing w:after="0" w:before="0"/>
            </w:pPr>
            <w:r>
              <w:rPr>
                <w:rFonts w:ascii="Arial" w:hAnsi="Arial"/>
                <w:b w:val="0"/>
                <w:sz w:val="17"/>
              </w:rPr>
              <w:t>Extra theatre minutes per case</w:t>
            </w:r>
          </w:p>
        </w:tc>
        <w:tc>
          <w:tcPr>
            <w:tcW w:type="dxa" w:w="1300"/>
            <w:shd w:val="clear" w:color="auto" w:fill="F2F2F2"/>
          </w:tcPr>
          <w:p>
            <w:pPr>
              <w:spacing w:after="0" w:before="0"/>
            </w:pPr>
            <w:r>
              <w:rPr>
                <w:rFonts w:ascii="Arial" w:hAnsi="Arial"/>
                <w:b w:val="0"/>
                <w:sz w:val="17"/>
              </w:rPr>
              <w:t>-50%</w:t>
            </w:r>
          </w:p>
        </w:tc>
        <w:tc>
          <w:tcPr>
            <w:tcW w:type="dxa" w:w="1300"/>
            <w:shd w:val="clear" w:color="auto" w:fill="F2F2F2"/>
          </w:tcPr>
          <w:p>
            <w:pPr>
              <w:spacing w:after="0" w:before="0"/>
            </w:pPr>
            <w:r>
              <w:rPr>
                <w:rFonts w:ascii="Arial" w:hAnsi="Arial"/>
                <w:b w:val="0"/>
                <w:sz w:val="17"/>
              </w:rPr>
              <w:t>+50%</w:t>
            </w:r>
          </w:p>
        </w:tc>
        <w:tc>
          <w:tcPr>
            <w:tcW w:type="dxa" w:w="1563"/>
            <w:shd w:val="clear" w:color="auto" w:fill="F2F2F2"/>
          </w:tcPr>
          <w:p>
            <w:pPr>
              <w:spacing w:after="0" w:before="0"/>
            </w:pPr>
            <w:r>
              <w:rPr>
                <w:rFonts w:ascii="Arial" w:hAnsi="Arial"/>
                <w:b w:val="0"/>
                <w:sz w:val="17"/>
              </w:rPr>
              <w:t>£4,732,972</w:t>
            </w:r>
          </w:p>
        </w:tc>
        <w:tc>
          <w:tcPr>
            <w:tcW w:type="dxa" w:w="1563"/>
            <w:shd w:val="clear" w:color="auto" w:fill="F2F2F2"/>
          </w:tcPr>
          <w:p>
            <w:pPr>
              <w:spacing w:after="0" w:before="0"/>
            </w:pPr>
            <w:r>
              <w:rPr>
                <w:rFonts w:ascii="Arial" w:hAnsi="Arial"/>
                <w:b w:val="0"/>
                <w:sz w:val="17"/>
              </w:rPr>
              <w:t>£5,235,430</w:t>
            </w:r>
          </w:p>
        </w:tc>
      </w:tr>
      <w:tr>
        <w:tc>
          <w:tcPr>
            <w:tcW w:type="dxa" w:w="3300"/>
          </w:tcPr>
          <w:p>
            <w:pPr>
              <w:spacing w:after="0" w:before="0"/>
            </w:pPr>
            <w:r>
              <w:rPr>
                <w:rFonts w:ascii="Arial" w:hAnsi="Arial"/>
                <w:b w:val="0"/>
                <w:sz w:val="17"/>
              </w:rPr>
              <w:t>Cost per theatre minute</w:t>
            </w:r>
          </w:p>
        </w:tc>
        <w:tc>
          <w:tcPr>
            <w:tcW w:type="dxa" w:w="1300"/>
          </w:tcPr>
          <w:p>
            <w:pPr>
              <w:spacing w:after="0" w:before="0"/>
            </w:pPr>
            <w:r>
              <w:rPr>
                <w:rFonts w:ascii="Arial" w:hAnsi="Arial"/>
                <w:b w:val="0"/>
                <w:sz w:val="17"/>
              </w:rPr>
              <w:t>£8</w:t>
            </w:r>
          </w:p>
        </w:tc>
        <w:tc>
          <w:tcPr>
            <w:tcW w:type="dxa" w:w="1300"/>
          </w:tcPr>
          <w:p>
            <w:pPr>
              <w:spacing w:after="0" w:before="0"/>
            </w:pPr>
            <w:r>
              <w:rPr>
                <w:rFonts w:ascii="Arial" w:hAnsi="Arial"/>
                <w:b w:val="0"/>
                <w:sz w:val="17"/>
              </w:rPr>
              <w:t>£20</w:t>
            </w:r>
          </w:p>
        </w:tc>
        <w:tc>
          <w:tcPr>
            <w:tcW w:type="dxa" w:w="1563"/>
          </w:tcPr>
          <w:p>
            <w:pPr>
              <w:spacing w:after="0" w:before="0"/>
            </w:pPr>
            <w:r>
              <w:rPr>
                <w:rFonts w:ascii="Arial" w:hAnsi="Arial"/>
                <w:b w:val="0"/>
                <w:sz w:val="17"/>
              </w:rPr>
              <w:t>£4,816,715</w:t>
            </w:r>
          </w:p>
        </w:tc>
        <w:tc>
          <w:tcPr>
            <w:tcW w:type="dxa" w:w="1563"/>
          </w:tcPr>
          <w:p>
            <w:pPr>
              <w:spacing w:after="0" w:before="0"/>
            </w:pPr>
            <w:r>
              <w:rPr>
                <w:rFonts w:ascii="Arial" w:hAnsi="Arial"/>
                <w:b w:val="0"/>
                <w:sz w:val="17"/>
              </w:rPr>
              <w:t>£5,319,173</w:t>
            </w:r>
          </w:p>
        </w:tc>
      </w:tr>
      <w:tr>
        <w:tc>
          <w:tcPr>
            <w:tcW w:type="dxa" w:w="3300"/>
            <w:shd w:val="clear" w:color="auto" w:fill="F2F2F2"/>
          </w:tcPr>
          <w:p>
            <w:pPr>
              <w:spacing w:after="0" w:before="0"/>
            </w:pPr>
            <w:r>
              <w:rPr>
                <w:rFonts w:ascii="Arial" w:hAnsi="Arial"/>
                <w:b w:val="0"/>
                <w:sz w:val="17"/>
              </w:rPr>
              <w:t>Steady-state utilisation</w:t>
            </w:r>
          </w:p>
        </w:tc>
        <w:tc>
          <w:tcPr>
            <w:tcW w:type="dxa" w:w="1300"/>
            <w:shd w:val="clear" w:color="auto" w:fill="F2F2F2"/>
          </w:tcPr>
          <w:p>
            <w:pPr>
              <w:spacing w:after="0" w:before="0"/>
            </w:pPr>
            <w:r>
              <w:rPr>
                <w:rFonts w:ascii="Arial" w:hAnsi="Arial"/>
                <w:b w:val="0"/>
                <w:sz w:val="17"/>
              </w:rPr>
              <w:t>80%</w:t>
            </w:r>
          </w:p>
        </w:tc>
        <w:tc>
          <w:tcPr>
            <w:tcW w:type="dxa" w:w="1300"/>
            <w:shd w:val="clear" w:color="auto" w:fill="F2F2F2"/>
          </w:tcPr>
          <w:p>
            <w:pPr>
              <w:spacing w:after="0" w:before="0"/>
            </w:pPr>
            <w:r>
              <w:rPr>
                <w:rFonts w:ascii="Arial" w:hAnsi="Arial"/>
                <w:b w:val="0"/>
                <w:sz w:val="17"/>
              </w:rPr>
              <w:t>100%</w:t>
            </w:r>
          </w:p>
        </w:tc>
        <w:tc>
          <w:tcPr>
            <w:tcW w:type="dxa" w:w="1563"/>
            <w:shd w:val="clear" w:color="auto" w:fill="F2F2F2"/>
          </w:tcPr>
          <w:p>
            <w:pPr>
              <w:spacing w:after="0" w:before="0"/>
            </w:pPr>
            <w:r>
              <w:rPr>
                <w:rFonts w:ascii="Arial" w:hAnsi="Arial"/>
                <w:b w:val="0"/>
                <w:sz w:val="17"/>
              </w:rPr>
              <w:t>£4,586,563</w:t>
            </w:r>
          </w:p>
        </w:tc>
        <w:tc>
          <w:tcPr>
            <w:tcW w:type="dxa" w:w="1563"/>
            <w:shd w:val="clear" w:color="auto" w:fill="F2F2F2"/>
          </w:tcPr>
          <w:p>
            <w:pPr>
              <w:spacing w:after="0" w:before="0"/>
            </w:pPr>
            <w:r>
              <w:rPr>
                <w:rFonts w:ascii="Arial" w:hAnsi="Arial"/>
                <w:b w:val="0"/>
                <w:sz w:val="17"/>
              </w:rPr>
              <w:t>£4,984,201</w:t>
            </w:r>
          </w:p>
        </w:tc>
      </w:tr>
      <w:tr>
        <w:tc>
          <w:tcPr>
            <w:tcW w:type="dxa" w:w="3300"/>
          </w:tcPr>
          <w:p>
            <w:pPr>
              <w:spacing w:after="0" w:before="0"/>
            </w:pPr>
            <w:r>
              <w:rPr>
                <w:rFonts w:ascii="Arial" w:hAnsi="Arial"/>
                <w:b w:val="0"/>
                <w:sz w:val="17"/>
              </w:rPr>
              <w:t>Maintenance per robot</w:t>
            </w:r>
          </w:p>
        </w:tc>
        <w:tc>
          <w:tcPr>
            <w:tcW w:type="dxa" w:w="1300"/>
          </w:tcPr>
          <w:p>
            <w:pPr>
              <w:spacing w:after="0" w:before="0"/>
            </w:pPr>
            <w:r>
              <w:rPr>
                <w:rFonts w:ascii="Arial" w:hAnsi="Arial"/>
                <w:b w:val="0"/>
                <w:sz w:val="17"/>
              </w:rPr>
              <w:t>-20%</w:t>
            </w:r>
          </w:p>
        </w:tc>
        <w:tc>
          <w:tcPr>
            <w:tcW w:type="dxa" w:w="1300"/>
          </w:tcPr>
          <w:p>
            <w:pPr>
              <w:spacing w:after="0" w:before="0"/>
            </w:pPr>
            <w:r>
              <w:rPr>
                <w:rFonts w:ascii="Arial" w:hAnsi="Arial"/>
                <w:b w:val="0"/>
                <w:sz w:val="17"/>
              </w:rPr>
              <w:t>+20%</w:t>
            </w:r>
          </w:p>
        </w:tc>
        <w:tc>
          <w:tcPr>
            <w:tcW w:type="dxa" w:w="1563"/>
          </w:tcPr>
          <w:p>
            <w:pPr>
              <w:spacing w:after="0" w:before="0"/>
            </w:pPr>
            <w:r>
              <w:rPr>
                <w:rFonts w:ascii="Arial" w:hAnsi="Arial"/>
                <w:b w:val="0"/>
                <w:sz w:val="17"/>
              </w:rPr>
              <w:t>£4,834,201</w:t>
            </w:r>
          </w:p>
        </w:tc>
        <w:tc>
          <w:tcPr>
            <w:tcW w:type="dxa" w:w="1563"/>
          </w:tcPr>
          <w:p>
            <w:pPr>
              <w:spacing w:after="0" w:before="0"/>
            </w:pPr>
            <w:r>
              <w:rPr>
                <w:rFonts w:ascii="Arial" w:hAnsi="Arial"/>
                <w:b w:val="0"/>
                <w:sz w:val="17"/>
              </w:rPr>
              <w:t>£5,134,201</w:t>
            </w:r>
          </w:p>
        </w:tc>
      </w:tr>
      <w:tr>
        <w:tc>
          <w:tcPr>
            <w:tcW w:type="dxa" w:w="3300"/>
            <w:shd w:val="clear" w:color="auto" w:fill="F2F2F2"/>
          </w:tcPr>
          <w:p>
            <w:pPr>
              <w:spacing w:after="0" w:before="0"/>
            </w:pPr>
            <w:r>
              <w:rPr>
                <w:rFonts w:ascii="Arial" w:hAnsi="Arial"/>
                <w:b w:val="0"/>
                <w:sz w:val="17"/>
              </w:rPr>
              <w:t>Sterile services per case</w:t>
            </w:r>
          </w:p>
        </w:tc>
        <w:tc>
          <w:tcPr>
            <w:tcW w:type="dxa" w:w="1300"/>
            <w:shd w:val="clear" w:color="auto" w:fill="F2F2F2"/>
          </w:tcPr>
          <w:p>
            <w:pPr>
              <w:spacing w:after="0" w:before="0"/>
            </w:pPr>
            <w:r>
              <w:rPr>
                <w:rFonts w:ascii="Arial" w:hAnsi="Arial"/>
                <w:b w:val="0"/>
                <w:sz w:val="17"/>
              </w:rPr>
              <w:t>half</w:t>
            </w:r>
          </w:p>
        </w:tc>
        <w:tc>
          <w:tcPr>
            <w:tcW w:type="dxa" w:w="1300"/>
            <w:shd w:val="clear" w:color="auto" w:fill="F2F2F2"/>
          </w:tcPr>
          <w:p>
            <w:pPr>
              <w:spacing w:after="0" w:before="0"/>
            </w:pPr>
            <w:r>
              <w:rPr>
                <w:rFonts w:ascii="Arial" w:hAnsi="Arial"/>
                <w:b w:val="0"/>
                <w:sz w:val="17"/>
              </w:rPr>
              <w:t>double</w:t>
            </w:r>
          </w:p>
        </w:tc>
        <w:tc>
          <w:tcPr>
            <w:tcW w:type="dxa" w:w="1563"/>
            <w:shd w:val="clear" w:color="auto" w:fill="F2F2F2"/>
          </w:tcPr>
          <w:p>
            <w:pPr>
              <w:spacing w:after="0" w:before="0"/>
            </w:pPr>
            <w:r>
              <w:rPr>
                <w:rFonts w:ascii="Arial" w:hAnsi="Arial"/>
                <w:b w:val="0"/>
                <w:sz w:val="17"/>
              </w:rPr>
              <w:t>£4,913,476</w:t>
            </w:r>
          </w:p>
        </w:tc>
        <w:tc>
          <w:tcPr>
            <w:tcW w:type="dxa" w:w="1563"/>
            <w:shd w:val="clear" w:color="auto" w:fill="F2F2F2"/>
          </w:tcPr>
          <w:p>
            <w:pPr>
              <w:spacing w:after="0" w:before="0"/>
            </w:pPr>
            <w:r>
              <w:rPr>
                <w:rFonts w:ascii="Arial" w:hAnsi="Arial"/>
                <w:b w:val="0"/>
                <w:sz w:val="17"/>
              </w:rPr>
              <w:t>£5,125,651</w:t>
            </w:r>
          </w:p>
        </w:tc>
      </w:tr>
      <w:tr>
        <w:tc>
          <w:tcPr>
            <w:tcW w:type="dxa" w:w="3300"/>
          </w:tcPr>
          <w:p>
            <w:pPr>
              <w:spacing w:after="0" w:before="0"/>
            </w:pPr>
            <w:r>
              <w:rPr>
                <w:rFonts w:ascii="Arial" w:hAnsi="Arial"/>
                <w:b w:val="0"/>
                <w:sz w:val="17"/>
              </w:rPr>
              <w:t>Share of templated cases that go ahead</w:t>
            </w:r>
          </w:p>
        </w:tc>
        <w:tc>
          <w:tcPr>
            <w:tcW w:type="dxa" w:w="1300"/>
          </w:tcPr>
          <w:p>
            <w:pPr>
              <w:spacing w:after="0" w:before="0"/>
            </w:pPr>
            <w:r>
              <w:rPr>
                <w:rFonts w:ascii="Arial" w:hAnsi="Arial"/>
                <w:b w:val="0"/>
                <w:sz w:val="17"/>
              </w:rPr>
              <w:t>85%</w:t>
            </w:r>
          </w:p>
        </w:tc>
        <w:tc>
          <w:tcPr>
            <w:tcW w:type="dxa" w:w="1300"/>
          </w:tcPr>
          <w:p>
            <w:pPr>
              <w:spacing w:after="0" w:before="0"/>
            </w:pPr>
            <w:r>
              <w:rPr>
                <w:rFonts w:ascii="Arial" w:hAnsi="Arial"/>
                <w:b w:val="0"/>
                <w:sz w:val="17"/>
              </w:rPr>
              <w:t>100%</w:t>
            </w:r>
          </w:p>
        </w:tc>
        <w:tc>
          <w:tcPr>
            <w:tcW w:type="dxa" w:w="1563"/>
          </w:tcPr>
          <w:p>
            <w:pPr>
              <w:spacing w:after="0" w:before="0"/>
            </w:pPr>
            <w:r>
              <w:rPr>
                <w:rFonts w:ascii="Arial" w:hAnsi="Arial"/>
                <w:b w:val="0"/>
                <w:sz w:val="17"/>
              </w:rPr>
              <w:t>£4,812,631</w:t>
            </w:r>
          </w:p>
        </w:tc>
        <w:tc>
          <w:tcPr>
            <w:tcW w:type="dxa" w:w="1563"/>
          </w:tcPr>
          <w:p>
            <w:pPr>
              <w:spacing w:after="0" w:before="0"/>
            </w:pPr>
            <w:r>
              <w:rPr>
                <w:rFonts w:ascii="Arial" w:hAnsi="Arial"/>
                <w:b w:val="0"/>
                <w:sz w:val="17"/>
              </w:rPr>
              <w:t>£4,984,201</w:t>
            </w:r>
          </w:p>
        </w:tc>
      </w:tr>
      <w:tr>
        <w:tc>
          <w:tcPr>
            <w:tcW w:type="dxa" w:w="3300"/>
            <w:shd w:val="clear" w:color="auto" w:fill="F2F2F2"/>
          </w:tcPr>
          <w:p>
            <w:pPr>
              <w:spacing w:after="0" w:before="0"/>
            </w:pPr>
            <w:r>
              <w:rPr>
                <w:rFonts w:ascii="Arial" w:hAnsi="Arial"/>
                <w:b w:val="0"/>
                <w:sz w:val="17"/>
              </w:rPr>
              <w:t>Share open without the robot (all specialties)</w:t>
            </w:r>
          </w:p>
        </w:tc>
        <w:tc>
          <w:tcPr>
            <w:tcW w:type="dxa" w:w="1300"/>
            <w:shd w:val="clear" w:color="auto" w:fill="F2F2F2"/>
          </w:tcPr>
          <w:p>
            <w:pPr>
              <w:spacing w:after="0" w:before="0"/>
            </w:pPr>
            <w:r>
              <w:rPr>
                <w:rFonts w:ascii="Arial" w:hAnsi="Arial"/>
                <w:b w:val="0"/>
                <w:sz w:val="17"/>
              </w:rPr>
              <w:t>half</w:t>
            </w:r>
          </w:p>
        </w:tc>
        <w:tc>
          <w:tcPr>
            <w:tcW w:type="dxa" w:w="1300"/>
            <w:shd w:val="clear" w:color="auto" w:fill="F2F2F2"/>
          </w:tcPr>
          <w:p>
            <w:pPr>
              <w:spacing w:after="0" w:before="0"/>
            </w:pPr>
            <w:r>
              <w:rPr>
                <w:rFonts w:ascii="Arial" w:hAnsi="Arial"/>
                <w:b w:val="0"/>
                <w:sz w:val="17"/>
              </w:rPr>
              <w:t>1.5 times</w:t>
            </w:r>
          </w:p>
        </w:tc>
        <w:tc>
          <w:tcPr>
            <w:tcW w:type="dxa" w:w="1563"/>
            <w:shd w:val="clear" w:color="auto" w:fill="F2F2F2"/>
          </w:tcPr>
          <w:p>
            <w:pPr>
              <w:spacing w:after="0" w:before="0"/>
            </w:pPr>
            <w:r>
              <w:rPr>
                <w:rFonts w:ascii="Arial" w:hAnsi="Arial"/>
                <w:b w:val="0"/>
                <w:sz w:val="17"/>
              </w:rPr>
              <w:t>£4,960,672</w:t>
            </w:r>
          </w:p>
        </w:tc>
        <w:tc>
          <w:tcPr>
            <w:tcW w:type="dxa" w:w="1563"/>
            <w:shd w:val="clear" w:color="auto" w:fill="F2F2F2"/>
          </w:tcPr>
          <w:p>
            <w:pPr>
              <w:spacing w:after="0" w:before="0"/>
            </w:pPr>
            <w:r>
              <w:rPr>
                <w:rFonts w:ascii="Arial" w:hAnsi="Arial"/>
                <w:b w:val="0"/>
                <w:sz w:val="17"/>
              </w:rPr>
              <w:t>£5,003,107</w:t>
            </w:r>
          </w:p>
        </w:tc>
      </w:tr>
    </w:tbl>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300"/>
        <w:gridCol w:w="1300"/>
        <w:gridCol w:w="1300"/>
        <w:gridCol w:w="1563"/>
        <w:gridCol w:w="1563"/>
      </w:tblGrid>
      <w:tr>
        <w:trPr>
          <w:tblHeader w:val="true"/>
        </w:trPr>
        <w:tc>
          <w:tcPr>
            <w:tcW w:type="dxa" w:w="3300"/>
            <w:shd w:val="clear" w:color="auto" w:fill="1F3864"/>
          </w:tcPr>
          <w:p>
            <w:pPr>
              <w:spacing w:after="0" w:before="0"/>
            </w:pPr>
            <w:r/>
            <w:r>
              <w:rPr>
                <w:rFonts w:ascii="Arial" w:hAnsi="Arial"/>
                <w:b/>
                <w:color w:val="FFFFFF"/>
                <w:sz w:val="17"/>
              </w:rPr>
              <w:t>Assumption</w:t>
            </w:r>
          </w:p>
        </w:tc>
        <w:tc>
          <w:tcPr>
            <w:tcW w:type="dxa" w:w="1300"/>
            <w:shd w:val="clear" w:color="auto" w:fill="1F3864"/>
          </w:tcPr>
          <w:p>
            <w:pPr>
              <w:spacing w:after="0" w:before="0"/>
            </w:pPr>
            <w:r/>
            <w:r>
              <w:rPr>
                <w:rFonts w:ascii="Arial" w:hAnsi="Arial"/>
                <w:b/>
                <w:color w:val="FFFFFF"/>
                <w:sz w:val="17"/>
              </w:rPr>
              <w:t>Low</w:t>
            </w:r>
          </w:p>
        </w:tc>
        <w:tc>
          <w:tcPr>
            <w:tcW w:type="dxa" w:w="1300"/>
            <w:shd w:val="clear" w:color="auto" w:fill="1F3864"/>
          </w:tcPr>
          <w:p>
            <w:pPr>
              <w:spacing w:after="0" w:before="0"/>
            </w:pPr>
            <w:r/>
            <w:r>
              <w:rPr>
                <w:rFonts w:ascii="Arial" w:hAnsi="Arial"/>
                <w:b/>
                <w:color w:val="FFFFFF"/>
                <w:sz w:val="17"/>
              </w:rPr>
              <w:t>High</w:t>
            </w:r>
          </w:p>
        </w:tc>
        <w:tc>
          <w:tcPr>
            <w:tcW w:type="dxa" w:w="1563"/>
            <w:shd w:val="clear" w:color="auto" w:fill="1F3864"/>
          </w:tcPr>
          <w:p>
            <w:pPr>
              <w:spacing w:after="0" w:before="0"/>
            </w:pPr>
            <w:r/>
            <w:r>
              <w:rPr>
                <w:rFonts w:ascii="Arial" w:hAnsi="Arial"/>
                <w:b/>
                <w:color w:val="FFFFFF"/>
                <w:sz w:val="17"/>
              </w:rPr>
              <w:t>Per bed-day at low</w:t>
            </w:r>
          </w:p>
        </w:tc>
        <w:tc>
          <w:tcPr>
            <w:tcW w:type="dxa" w:w="1563"/>
            <w:shd w:val="clear" w:color="auto" w:fill="1F3864"/>
          </w:tcPr>
          <w:p>
            <w:pPr>
              <w:spacing w:after="0" w:before="0"/>
            </w:pPr>
            <w:r/>
            <w:r>
              <w:rPr>
                <w:rFonts w:ascii="Arial" w:hAnsi="Arial"/>
                <w:b/>
                <w:color w:val="FFFFFF"/>
                <w:sz w:val="17"/>
              </w:rPr>
              <w:t>Per bed-day at high</w:t>
            </w:r>
          </w:p>
        </w:tc>
      </w:tr>
      <w:tr>
        <w:tc>
          <w:tcPr>
            <w:tcW w:type="dxa" w:w="3300"/>
          </w:tcPr>
          <w:p>
            <w:pPr>
              <w:spacing w:after="0" w:before="0"/>
            </w:pPr>
            <w:r>
              <w:rPr>
                <w:rFonts w:ascii="Arial" w:hAnsi="Arial"/>
                <w:b w:val="0"/>
                <w:sz w:val="17"/>
              </w:rPr>
              <w:t>Bed-days saved per case</w:t>
            </w:r>
          </w:p>
        </w:tc>
        <w:tc>
          <w:tcPr>
            <w:tcW w:type="dxa" w:w="1300"/>
          </w:tcPr>
          <w:p>
            <w:pPr>
              <w:spacing w:after="0" w:before="0"/>
            </w:pPr>
            <w:r>
              <w:rPr>
                <w:rFonts w:ascii="Arial" w:hAnsi="Arial"/>
                <w:b w:val="0"/>
                <w:sz w:val="17"/>
              </w:rPr>
              <w:t>half</w:t>
            </w:r>
          </w:p>
        </w:tc>
        <w:tc>
          <w:tcPr>
            <w:tcW w:type="dxa" w:w="1300"/>
          </w:tcPr>
          <w:p>
            <w:pPr>
              <w:spacing w:after="0" w:before="0"/>
            </w:pPr>
            <w:r>
              <w:rPr>
                <w:rFonts w:ascii="Arial" w:hAnsi="Arial"/>
                <w:b w:val="0"/>
                <w:sz w:val="17"/>
              </w:rPr>
              <w:t>1.5 times</w:t>
            </w:r>
          </w:p>
        </w:tc>
        <w:tc>
          <w:tcPr>
            <w:tcW w:type="dxa" w:w="1563"/>
          </w:tcPr>
          <w:p>
            <w:pPr>
              <w:spacing w:after="0" w:before="0"/>
            </w:pPr>
            <w:r>
              <w:rPr>
                <w:rFonts w:ascii="Arial" w:hAnsi="Arial"/>
                <w:b w:val="0"/>
                <w:sz w:val="17"/>
              </w:rPr>
              <w:t>£7,518</w:t>
            </w:r>
          </w:p>
        </w:tc>
        <w:tc>
          <w:tcPr>
            <w:tcW w:type="dxa" w:w="1563"/>
          </w:tcPr>
          <w:p>
            <w:pPr>
              <w:spacing w:after="0" w:before="0"/>
            </w:pPr>
            <w:r>
              <w:rPr>
                <w:rFonts w:ascii="Arial" w:hAnsi="Arial"/>
                <w:b w:val="0"/>
                <w:sz w:val="17"/>
              </w:rPr>
              <w:t>£2,506</w:t>
            </w:r>
          </w:p>
        </w:tc>
      </w:tr>
      <w:tr>
        <w:tc>
          <w:tcPr>
            <w:tcW w:type="dxa" w:w="3300"/>
            <w:shd w:val="clear" w:color="auto" w:fill="F2F2F2"/>
          </w:tcPr>
          <w:p>
            <w:pPr>
              <w:spacing w:after="0" w:before="0"/>
            </w:pPr>
            <w:r>
              <w:rPr>
                <w:rFonts w:ascii="Arial" w:hAnsi="Arial"/>
                <w:b w:val="0"/>
                <w:sz w:val="17"/>
              </w:rPr>
              <w:t>Share open without the robot (all specialties)</w:t>
            </w:r>
          </w:p>
        </w:tc>
        <w:tc>
          <w:tcPr>
            <w:tcW w:type="dxa" w:w="1300"/>
            <w:shd w:val="clear" w:color="auto" w:fill="F2F2F2"/>
          </w:tcPr>
          <w:p>
            <w:pPr>
              <w:spacing w:after="0" w:before="0"/>
            </w:pPr>
            <w:r>
              <w:rPr>
                <w:rFonts w:ascii="Arial" w:hAnsi="Arial"/>
                <w:b w:val="0"/>
                <w:sz w:val="17"/>
              </w:rPr>
              <w:t>half</w:t>
            </w:r>
          </w:p>
        </w:tc>
        <w:tc>
          <w:tcPr>
            <w:tcW w:type="dxa" w:w="1300"/>
            <w:shd w:val="clear" w:color="auto" w:fill="F2F2F2"/>
          </w:tcPr>
          <w:p>
            <w:pPr>
              <w:spacing w:after="0" w:before="0"/>
            </w:pPr>
            <w:r>
              <w:rPr>
                <w:rFonts w:ascii="Arial" w:hAnsi="Arial"/>
                <w:b w:val="0"/>
                <w:sz w:val="17"/>
              </w:rPr>
              <w:t>1.5 times</w:t>
            </w:r>
          </w:p>
        </w:tc>
        <w:tc>
          <w:tcPr>
            <w:tcW w:type="dxa" w:w="1563"/>
            <w:shd w:val="clear" w:color="auto" w:fill="F2F2F2"/>
          </w:tcPr>
          <w:p>
            <w:pPr>
              <w:spacing w:after="0" w:before="0"/>
            </w:pPr>
            <w:r>
              <w:rPr>
                <w:rFonts w:ascii="Arial" w:hAnsi="Arial"/>
                <w:b w:val="0"/>
                <w:sz w:val="17"/>
              </w:rPr>
              <w:t>£5,412</w:t>
            </w:r>
          </w:p>
        </w:tc>
        <w:tc>
          <w:tcPr>
            <w:tcW w:type="dxa" w:w="1563"/>
            <w:shd w:val="clear" w:color="auto" w:fill="F2F2F2"/>
          </w:tcPr>
          <w:p>
            <w:pPr>
              <w:spacing w:after="0" w:before="0"/>
            </w:pPr>
            <w:r>
              <w:rPr>
                <w:rFonts w:ascii="Arial" w:hAnsi="Arial"/>
                <w:b w:val="0"/>
                <w:sz w:val="17"/>
              </w:rPr>
              <w:t>£2,953</w:t>
            </w:r>
          </w:p>
        </w:tc>
      </w:tr>
      <w:tr>
        <w:tc>
          <w:tcPr>
            <w:tcW w:type="dxa" w:w="3300"/>
          </w:tcPr>
          <w:p>
            <w:pPr>
              <w:spacing w:after="0" w:before="0"/>
            </w:pPr>
            <w:r>
              <w:rPr>
                <w:rFonts w:ascii="Arial" w:hAnsi="Arial"/>
                <w:b w:val="0"/>
                <w:sz w:val="17"/>
              </w:rPr>
              <w:t>Instrument price per case</w:t>
            </w:r>
          </w:p>
        </w:tc>
        <w:tc>
          <w:tcPr>
            <w:tcW w:type="dxa" w:w="1300"/>
          </w:tcPr>
          <w:p>
            <w:pPr>
              <w:spacing w:after="0" w:before="0"/>
            </w:pPr>
            <w:r>
              <w:rPr>
                <w:rFonts w:ascii="Arial" w:hAnsi="Arial"/>
                <w:b w:val="0"/>
                <w:sz w:val="17"/>
              </w:rPr>
              <w:t>30% off list</w:t>
            </w:r>
          </w:p>
        </w:tc>
        <w:tc>
          <w:tcPr>
            <w:tcW w:type="dxa" w:w="1300"/>
          </w:tcPr>
          <w:p>
            <w:pPr>
              <w:spacing w:after="0" w:before="0"/>
            </w:pPr>
            <w:r>
              <w:rPr>
                <w:rFonts w:ascii="Arial" w:hAnsi="Arial"/>
                <w:b w:val="0"/>
                <w:sz w:val="17"/>
              </w:rPr>
              <w:t>list price</w:t>
            </w:r>
          </w:p>
        </w:tc>
        <w:tc>
          <w:tcPr>
            <w:tcW w:type="dxa" w:w="1563"/>
          </w:tcPr>
          <w:p>
            <w:pPr>
              <w:spacing w:after="0" w:before="0"/>
            </w:pPr>
            <w:r>
              <w:rPr>
                <w:rFonts w:ascii="Arial" w:hAnsi="Arial"/>
                <w:b w:val="0"/>
                <w:sz w:val="17"/>
              </w:rPr>
              <w:t>£3,439</w:t>
            </w:r>
          </w:p>
        </w:tc>
        <w:tc>
          <w:tcPr>
            <w:tcW w:type="dxa" w:w="1563"/>
          </w:tcPr>
          <w:p>
            <w:pPr>
              <w:spacing w:after="0" w:before="0"/>
            </w:pPr>
            <w:r>
              <w:rPr>
                <w:rFonts w:ascii="Arial" w:hAnsi="Arial"/>
                <w:b w:val="0"/>
                <w:sz w:val="17"/>
              </w:rPr>
              <w:t>£4,079</w:t>
            </w:r>
          </w:p>
        </w:tc>
      </w:tr>
      <w:tr>
        <w:tc>
          <w:tcPr>
            <w:tcW w:type="dxa" w:w="3300"/>
            <w:shd w:val="clear" w:color="auto" w:fill="F2F2F2"/>
          </w:tcPr>
          <w:p>
            <w:pPr>
              <w:spacing w:after="0" w:before="0"/>
            </w:pPr>
            <w:r>
              <w:rPr>
                <w:rFonts w:ascii="Arial" w:hAnsi="Arial"/>
                <w:b w:val="0"/>
                <w:sz w:val="17"/>
              </w:rPr>
              <w:t>Learning curve (years 1 and 2)</w:t>
            </w:r>
          </w:p>
        </w:tc>
        <w:tc>
          <w:tcPr>
            <w:tcW w:type="dxa" w:w="1300"/>
            <w:shd w:val="clear" w:color="auto" w:fill="F2F2F2"/>
          </w:tcPr>
          <w:p>
            <w:pPr>
              <w:spacing w:after="0" w:before="0"/>
            </w:pPr>
            <w:r>
              <w:rPr>
                <w:rFonts w:ascii="Arial" w:hAnsi="Arial"/>
                <w:b w:val="0"/>
                <w:sz w:val="17"/>
              </w:rPr>
              <w:t>slower (50%, 75%)</w:t>
            </w:r>
          </w:p>
        </w:tc>
        <w:tc>
          <w:tcPr>
            <w:tcW w:type="dxa" w:w="1300"/>
            <w:shd w:val="clear" w:color="auto" w:fill="F2F2F2"/>
          </w:tcPr>
          <w:p>
            <w:pPr>
              <w:spacing w:after="0" w:before="0"/>
            </w:pPr>
            <w:r>
              <w:rPr>
                <w:rFonts w:ascii="Arial" w:hAnsi="Arial"/>
                <w:b w:val="0"/>
                <w:sz w:val="17"/>
              </w:rPr>
              <w:t>none (100%)</w:t>
            </w:r>
          </w:p>
        </w:tc>
        <w:tc>
          <w:tcPr>
            <w:tcW w:type="dxa" w:w="1563"/>
            <w:shd w:val="clear" w:color="auto" w:fill="F2F2F2"/>
          </w:tcPr>
          <w:p>
            <w:pPr>
              <w:spacing w:after="0" w:before="0"/>
            </w:pPr>
            <w:r>
              <w:rPr>
                <w:rFonts w:ascii="Arial" w:hAnsi="Arial"/>
                <w:b w:val="0"/>
                <w:sz w:val="17"/>
              </w:rPr>
              <w:t>£4,049</w:t>
            </w:r>
          </w:p>
        </w:tc>
        <w:tc>
          <w:tcPr>
            <w:tcW w:type="dxa" w:w="1563"/>
            <w:shd w:val="clear" w:color="auto" w:fill="F2F2F2"/>
          </w:tcPr>
          <w:p>
            <w:pPr>
              <w:spacing w:after="0" w:before="0"/>
            </w:pPr>
            <w:r>
              <w:rPr>
                <w:rFonts w:ascii="Arial" w:hAnsi="Arial"/>
                <w:b w:val="0"/>
                <w:sz w:val="17"/>
              </w:rPr>
              <w:t>£3,543</w:t>
            </w:r>
          </w:p>
        </w:tc>
      </w:tr>
      <w:tr>
        <w:tc>
          <w:tcPr>
            <w:tcW w:type="dxa" w:w="3300"/>
          </w:tcPr>
          <w:p>
            <w:pPr>
              <w:spacing w:after="0" w:before="0"/>
            </w:pPr>
            <w:r>
              <w:rPr>
                <w:rFonts w:ascii="Arial" w:hAnsi="Arial"/>
                <w:b w:val="0"/>
                <w:sz w:val="17"/>
              </w:rPr>
              <w:t>Capital per robot</w:t>
            </w:r>
          </w:p>
        </w:tc>
        <w:tc>
          <w:tcPr>
            <w:tcW w:type="dxa" w:w="1300"/>
          </w:tcPr>
          <w:p>
            <w:pPr>
              <w:spacing w:after="0" w:before="0"/>
            </w:pPr>
            <w:r>
              <w:rPr>
                <w:rFonts w:ascii="Arial" w:hAnsi="Arial"/>
                <w:b w:val="0"/>
                <w:sz w:val="17"/>
              </w:rPr>
              <w:t>-20%</w:t>
            </w:r>
          </w:p>
        </w:tc>
        <w:tc>
          <w:tcPr>
            <w:tcW w:type="dxa" w:w="1300"/>
          </w:tcPr>
          <w:p>
            <w:pPr>
              <w:spacing w:after="0" w:before="0"/>
            </w:pPr>
            <w:r>
              <w:rPr>
                <w:rFonts w:ascii="Arial" w:hAnsi="Arial"/>
                <w:b w:val="0"/>
                <w:sz w:val="17"/>
              </w:rPr>
              <w:t>+20%</w:t>
            </w:r>
          </w:p>
        </w:tc>
        <w:tc>
          <w:tcPr>
            <w:tcW w:type="dxa" w:w="1563"/>
          </w:tcPr>
          <w:p>
            <w:pPr>
              <w:spacing w:after="0" w:before="0"/>
            </w:pPr>
            <w:r>
              <w:rPr>
                <w:rFonts w:ascii="Arial" w:hAnsi="Arial"/>
                <w:b w:val="0"/>
                <w:sz w:val="17"/>
              </w:rPr>
              <w:t>£3,520</w:t>
            </w:r>
          </w:p>
        </w:tc>
        <w:tc>
          <w:tcPr>
            <w:tcW w:type="dxa" w:w="1563"/>
          </w:tcPr>
          <w:p>
            <w:pPr>
              <w:spacing w:after="0" w:before="0"/>
            </w:pPr>
            <w:r>
              <w:rPr>
                <w:rFonts w:ascii="Arial" w:hAnsi="Arial"/>
                <w:b w:val="0"/>
                <w:sz w:val="17"/>
              </w:rPr>
              <w:t>£3,999</w:t>
            </w:r>
          </w:p>
        </w:tc>
      </w:tr>
      <w:tr>
        <w:tc>
          <w:tcPr>
            <w:tcW w:type="dxa" w:w="3300"/>
            <w:shd w:val="clear" w:color="auto" w:fill="F2F2F2"/>
          </w:tcPr>
          <w:p>
            <w:pPr>
              <w:spacing w:after="0" w:before="0"/>
            </w:pPr>
            <w:r>
              <w:rPr>
                <w:rFonts w:ascii="Arial" w:hAnsi="Arial"/>
                <w:b w:val="0"/>
                <w:sz w:val="17"/>
              </w:rPr>
              <w:t>Surgical first assistant per robot</w:t>
            </w:r>
          </w:p>
        </w:tc>
        <w:tc>
          <w:tcPr>
            <w:tcW w:type="dxa" w:w="1300"/>
            <w:shd w:val="clear" w:color="auto" w:fill="F2F2F2"/>
          </w:tcPr>
          <w:p>
            <w:pPr>
              <w:spacing w:after="0" w:before="0"/>
            </w:pPr>
            <w:r>
              <w:rPr>
                <w:rFonts w:ascii="Arial" w:hAnsi="Arial"/>
                <w:b w:val="0"/>
                <w:sz w:val="17"/>
              </w:rPr>
              <w:t>0 WTE</w:t>
            </w:r>
          </w:p>
        </w:tc>
        <w:tc>
          <w:tcPr>
            <w:tcW w:type="dxa" w:w="1300"/>
            <w:shd w:val="clear" w:color="auto" w:fill="F2F2F2"/>
          </w:tcPr>
          <w:p>
            <w:pPr>
              <w:spacing w:after="0" w:before="0"/>
            </w:pPr>
            <w:r>
              <w:rPr>
                <w:rFonts w:ascii="Arial" w:hAnsi="Arial"/>
                <w:b w:val="0"/>
                <w:sz w:val="17"/>
              </w:rPr>
              <w:t>2 WTE</w:t>
            </w:r>
          </w:p>
        </w:tc>
        <w:tc>
          <w:tcPr>
            <w:tcW w:type="dxa" w:w="1563"/>
            <w:shd w:val="clear" w:color="auto" w:fill="F2F2F2"/>
          </w:tcPr>
          <w:p>
            <w:pPr>
              <w:spacing w:after="0" w:before="0"/>
            </w:pPr>
            <w:r>
              <w:rPr>
                <w:rFonts w:ascii="Arial" w:hAnsi="Arial"/>
                <w:b w:val="0"/>
                <w:sz w:val="17"/>
              </w:rPr>
              <w:t>£3,533</w:t>
            </w:r>
          </w:p>
        </w:tc>
        <w:tc>
          <w:tcPr>
            <w:tcW w:type="dxa" w:w="1563"/>
            <w:shd w:val="clear" w:color="auto" w:fill="F2F2F2"/>
          </w:tcPr>
          <w:p>
            <w:pPr>
              <w:spacing w:after="0" w:before="0"/>
            </w:pPr>
            <w:r>
              <w:rPr>
                <w:rFonts w:ascii="Arial" w:hAnsi="Arial"/>
                <w:b w:val="0"/>
                <w:sz w:val="17"/>
              </w:rPr>
              <w:t>£3,985</w:t>
            </w:r>
          </w:p>
        </w:tc>
      </w:tr>
      <w:tr>
        <w:tc>
          <w:tcPr>
            <w:tcW w:type="dxa" w:w="3300"/>
          </w:tcPr>
          <w:p>
            <w:pPr>
              <w:spacing w:after="0" w:before="0"/>
            </w:pPr>
            <w:r>
              <w:rPr>
                <w:rFonts w:ascii="Arial" w:hAnsi="Arial"/>
                <w:b w:val="0"/>
                <w:sz w:val="17"/>
              </w:rPr>
              <w:t>Extra theatre minutes per case</w:t>
            </w:r>
          </w:p>
        </w:tc>
        <w:tc>
          <w:tcPr>
            <w:tcW w:type="dxa" w:w="1300"/>
          </w:tcPr>
          <w:p>
            <w:pPr>
              <w:spacing w:after="0" w:before="0"/>
            </w:pPr>
            <w:r>
              <w:rPr>
                <w:rFonts w:ascii="Arial" w:hAnsi="Arial"/>
                <w:b w:val="0"/>
                <w:sz w:val="17"/>
              </w:rPr>
              <w:t>-50%</w:t>
            </w:r>
          </w:p>
        </w:tc>
        <w:tc>
          <w:tcPr>
            <w:tcW w:type="dxa" w:w="1300"/>
          </w:tcPr>
          <w:p>
            <w:pPr>
              <w:spacing w:after="0" w:before="0"/>
            </w:pPr>
            <w:r>
              <w:rPr>
                <w:rFonts w:ascii="Arial" w:hAnsi="Arial"/>
                <w:b w:val="0"/>
                <w:sz w:val="17"/>
              </w:rPr>
              <w:t>+50%</w:t>
            </w:r>
          </w:p>
        </w:tc>
        <w:tc>
          <w:tcPr>
            <w:tcW w:type="dxa" w:w="1563"/>
          </w:tcPr>
          <w:p>
            <w:pPr>
              <w:spacing w:after="0" w:before="0"/>
            </w:pPr>
            <w:r>
              <w:rPr>
                <w:rFonts w:ascii="Arial" w:hAnsi="Arial"/>
                <w:b w:val="0"/>
                <w:sz w:val="17"/>
              </w:rPr>
              <w:t>£3,570</w:t>
            </w:r>
          </w:p>
        </w:tc>
        <w:tc>
          <w:tcPr>
            <w:tcW w:type="dxa" w:w="1563"/>
          </w:tcPr>
          <w:p>
            <w:pPr>
              <w:spacing w:after="0" w:before="0"/>
            </w:pPr>
            <w:r>
              <w:rPr>
                <w:rFonts w:ascii="Arial" w:hAnsi="Arial"/>
                <w:b w:val="0"/>
                <w:sz w:val="17"/>
              </w:rPr>
              <w:t>£3,949</w:t>
            </w:r>
          </w:p>
        </w:tc>
      </w:tr>
      <w:tr>
        <w:tc>
          <w:tcPr>
            <w:tcW w:type="dxa" w:w="3300"/>
            <w:shd w:val="clear" w:color="auto" w:fill="F2F2F2"/>
          </w:tcPr>
          <w:p>
            <w:pPr>
              <w:spacing w:after="0" w:before="0"/>
            </w:pPr>
            <w:r>
              <w:rPr>
                <w:rFonts w:ascii="Arial" w:hAnsi="Arial"/>
                <w:b w:val="0"/>
                <w:sz w:val="17"/>
              </w:rPr>
              <w:t>Cost per theatre minute</w:t>
            </w:r>
          </w:p>
        </w:tc>
        <w:tc>
          <w:tcPr>
            <w:tcW w:type="dxa" w:w="1300"/>
            <w:shd w:val="clear" w:color="auto" w:fill="F2F2F2"/>
          </w:tcPr>
          <w:p>
            <w:pPr>
              <w:spacing w:after="0" w:before="0"/>
            </w:pPr>
            <w:r>
              <w:rPr>
                <w:rFonts w:ascii="Arial" w:hAnsi="Arial"/>
                <w:b w:val="0"/>
                <w:sz w:val="17"/>
              </w:rPr>
              <w:t>£8</w:t>
            </w:r>
          </w:p>
        </w:tc>
        <w:tc>
          <w:tcPr>
            <w:tcW w:type="dxa" w:w="1300"/>
            <w:shd w:val="clear" w:color="auto" w:fill="F2F2F2"/>
          </w:tcPr>
          <w:p>
            <w:pPr>
              <w:spacing w:after="0" w:before="0"/>
            </w:pPr>
            <w:r>
              <w:rPr>
                <w:rFonts w:ascii="Arial" w:hAnsi="Arial"/>
                <w:b w:val="0"/>
                <w:sz w:val="17"/>
              </w:rPr>
              <w:t>£20</w:t>
            </w:r>
          </w:p>
        </w:tc>
        <w:tc>
          <w:tcPr>
            <w:tcW w:type="dxa" w:w="1563"/>
            <w:shd w:val="clear" w:color="auto" w:fill="F2F2F2"/>
          </w:tcPr>
          <w:p>
            <w:pPr>
              <w:spacing w:after="0" w:before="0"/>
            </w:pPr>
            <w:r>
              <w:rPr>
                <w:rFonts w:ascii="Arial" w:hAnsi="Arial"/>
                <w:b w:val="0"/>
                <w:sz w:val="17"/>
              </w:rPr>
              <w:t>£3,633</w:t>
            </w:r>
          </w:p>
        </w:tc>
        <w:tc>
          <w:tcPr>
            <w:tcW w:type="dxa" w:w="1563"/>
            <w:shd w:val="clear" w:color="auto" w:fill="F2F2F2"/>
          </w:tcPr>
          <w:p>
            <w:pPr>
              <w:spacing w:after="0" w:before="0"/>
            </w:pPr>
            <w:r>
              <w:rPr>
                <w:rFonts w:ascii="Arial" w:hAnsi="Arial"/>
                <w:b w:val="0"/>
                <w:sz w:val="17"/>
              </w:rPr>
              <w:t>£4,012</w:t>
            </w:r>
          </w:p>
        </w:tc>
      </w:tr>
      <w:tr>
        <w:tc>
          <w:tcPr>
            <w:tcW w:type="dxa" w:w="3300"/>
          </w:tcPr>
          <w:p>
            <w:pPr>
              <w:spacing w:after="0" w:before="0"/>
            </w:pPr>
            <w:r>
              <w:rPr>
                <w:rFonts w:ascii="Arial" w:hAnsi="Arial"/>
                <w:b w:val="0"/>
                <w:sz w:val="17"/>
              </w:rPr>
              <w:t>Steady-state utilisation</w:t>
            </w:r>
          </w:p>
        </w:tc>
        <w:tc>
          <w:tcPr>
            <w:tcW w:type="dxa" w:w="1300"/>
          </w:tcPr>
          <w:p>
            <w:pPr>
              <w:spacing w:after="0" w:before="0"/>
            </w:pPr>
            <w:r>
              <w:rPr>
                <w:rFonts w:ascii="Arial" w:hAnsi="Arial"/>
                <w:b w:val="0"/>
                <w:sz w:val="17"/>
              </w:rPr>
              <w:t>80%</w:t>
            </w:r>
          </w:p>
        </w:tc>
        <w:tc>
          <w:tcPr>
            <w:tcW w:type="dxa" w:w="1300"/>
          </w:tcPr>
          <w:p>
            <w:pPr>
              <w:spacing w:after="0" w:before="0"/>
            </w:pPr>
            <w:r>
              <w:rPr>
                <w:rFonts w:ascii="Arial" w:hAnsi="Arial"/>
                <w:b w:val="0"/>
                <w:sz w:val="17"/>
              </w:rPr>
              <w:t>100%</w:t>
            </w:r>
          </w:p>
        </w:tc>
        <w:tc>
          <w:tcPr>
            <w:tcW w:type="dxa" w:w="1563"/>
          </w:tcPr>
          <w:p>
            <w:pPr>
              <w:spacing w:after="0" w:before="0"/>
            </w:pPr>
            <w:r>
              <w:rPr>
                <w:rFonts w:ascii="Arial" w:hAnsi="Arial"/>
                <w:b w:val="0"/>
                <w:sz w:val="17"/>
              </w:rPr>
              <w:t>£4,015</w:t>
            </w:r>
          </w:p>
        </w:tc>
        <w:tc>
          <w:tcPr>
            <w:tcW w:type="dxa" w:w="1563"/>
          </w:tcPr>
          <w:p>
            <w:pPr>
              <w:spacing w:after="0" w:before="0"/>
            </w:pPr>
            <w:r>
              <w:rPr>
                <w:rFonts w:ascii="Arial" w:hAnsi="Arial"/>
                <w:b w:val="0"/>
                <w:sz w:val="17"/>
              </w:rPr>
              <w:t>£3,759</w:t>
            </w:r>
          </w:p>
        </w:tc>
      </w:tr>
      <w:tr>
        <w:tc>
          <w:tcPr>
            <w:tcW w:type="dxa" w:w="3300"/>
            <w:shd w:val="clear" w:color="auto" w:fill="F2F2F2"/>
          </w:tcPr>
          <w:p>
            <w:pPr>
              <w:spacing w:after="0" w:before="0"/>
            </w:pPr>
            <w:r>
              <w:rPr>
                <w:rFonts w:ascii="Arial" w:hAnsi="Arial"/>
                <w:b w:val="0"/>
                <w:sz w:val="17"/>
              </w:rPr>
              <w:t>Maintenance per robot</w:t>
            </w:r>
          </w:p>
        </w:tc>
        <w:tc>
          <w:tcPr>
            <w:tcW w:type="dxa" w:w="1300"/>
            <w:shd w:val="clear" w:color="auto" w:fill="F2F2F2"/>
          </w:tcPr>
          <w:p>
            <w:pPr>
              <w:spacing w:after="0" w:before="0"/>
            </w:pPr>
            <w:r>
              <w:rPr>
                <w:rFonts w:ascii="Arial" w:hAnsi="Arial"/>
                <w:b w:val="0"/>
                <w:sz w:val="17"/>
              </w:rPr>
              <w:t>-20%</w:t>
            </w:r>
          </w:p>
        </w:tc>
        <w:tc>
          <w:tcPr>
            <w:tcW w:type="dxa" w:w="1300"/>
            <w:shd w:val="clear" w:color="auto" w:fill="F2F2F2"/>
          </w:tcPr>
          <w:p>
            <w:pPr>
              <w:spacing w:after="0" w:before="0"/>
            </w:pPr>
            <w:r>
              <w:rPr>
                <w:rFonts w:ascii="Arial" w:hAnsi="Arial"/>
                <w:b w:val="0"/>
                <w:sz w:val="17"/>
              </w:rPr>
              <w:t>+20%</w:t>
            </w:r>
          </w:p>
        </w:tc>
        <w:tc>
          <w:tcPr>
            <w:tcW w:type="dxa" w:w="1563"/>
            <w:shd w:val="clear" w:color="auto" w:fill="F2F2F2"/>
          </w:tcPr>
          <w:p>
            <w:pPr>
              <w:spacing w:after="0" w:before="0"/>
            </w:pPr>
            <w:r>
              <w:rPr>
                <w:rFonts w:ascii="Arial" w:hAnsi="Arial"/>
                <w:b w:val="0"/>
                <w:sz w:val="17"/>
              </w:rPr>
              <w:t>£3,646</w:t>
            </w:r>
          </w:p>
        </w:tc>
        <w:tc>
          <w:tcPr>
            <w:tcW w:type="dxa" w:w="1563"/>
            <w:shd w:val="clear" w:color="auto" w:fill="F2F2F2"/>
          </w:tcPr>
          <w:p>
            <w:pPr>
              <w:spacing w:after="0" w:before="0"/>
            </w:pPr>
            <w:r>
              <w:rPr>
                <w:rFonts w:ascii="Arial" w:hAnsi="Arial"/>
                <w:b w:val="0"/>
                <w:sz w:val="17"/>
              </w:rPr>
              <w:t>£3,872</w:t>
            </w:r>
          </w:p>
        </w:tc>
      </w:tr>
      <w:tr>
        <w:tc>
          <w:tcPr>
            <w:tcW w:type="dxa" w:w="3300"/>
          </w:tcPr>
          <w:p>
            <w:pPr>
              <w:spacing w:after="0" w:before="0"/>
            </w:pPr>
            <w:r>
              <w:rPr>
                <w:rFonts w:ascii="Arial" w:hAnsi="Arial"/>
                <w:b w:val="0"/>
                <w:sz w:val="17"/>
              </w:rPr>
              <w:t>Sterile services per case</w:t>
            </w:r>
          </w:p>
        </w:tc>
        <w:tc>
          <w:tcPr>
            <w:tcW w:type="dxa" w:w="1300"/>
          </w:tcPr>
          <w:p>
            <w:pPr>
              <w:spacing w:after="0" w:before="0"/>
            </w:pPr>
            <w:r>
              <w:rPr>
                <w:rFonts w:ascii="Arial" w:hAnsi="Arial"/>
                <w:b w:val="0"/>
                <w:sz w:val="17"/>
              </w:rPr>
              <w:t>half</w:t>
            </w:r>
          </w:p>
        </w:tc>
        <w:tc>
          <w:tcPr>
            <w:tcW w:type="dxa" w:w="1300"/>
          </w:tcPr>
          <w:p>
            <w:pPr>
              <w:spacing w:after="0" w:before="0"/>
            </w:pPr>
            <w:r>
              <w:rPr>
                <w:rFonts w:ascii="Arial" w:hAnsi="Arial"/>
                <w:b w:val="0"/>
                <w:sz w:val="17"/>
              </w:rPr>
              <w:t>double</w:t>
            </w:r>
          </w:p>
        </w:tc>
        <w:tc>
          <w:tcPr>
            <w:tcW w:type="dxa" w:w="1563"/>
          </w:tcPr>
          <w:p>
            <w:pPr>
              <w:spacing w:after="0" w:before="0"/>
            </w:pPr>
            <w:r>
              <w:rPr>
                <w:rFonts w:ascii="Arial" w:hAnsi="Arial"/>
                <w:b w:val="0"/>
                <w:sz w:val="17"/>
              </w:rPr>
              <w:t>£3,706</w:t>
            </w:r>
          </w:p>
        </w:tc>
        <w:tc>
          <w:tcPr>
            <w:tcW w:type="dxa" w:w="1563"/>
          </w:tcPr>
          <w:p>
            <w:pPr>
              <w:spacing w:after="0" w:before="0"/>
            </w:pPr>
            <w:r>
              <w:rPr>
                <w:rFonts w:ascii="Arial" w:hAnsi="Arial"/>
                <w:b w:val="0"/>
                <w:sz w:val="17"/>
              </w:rPr>
              <w:t>£3,866</w:t>
            </w:r>
          </w:p>
        </w:tc>
      </w:tr>
      <w:tr>
        <w:tc>
          <w:tcPr>
            <w:tcW w:type="dxa" w:w="3300"/>
            <w:shd w:val="clear" w:color="auto" w:fill="F2F2F2"/>
          </w:tcPr>
          <w:p>
            <w:pPr>
              <w:spacing w:after="0" w:before="0"/>
            </w:pPr>
            <w:r>
              <w:rPr>
                <w:rFonts w:ascii="Arial" w:hAnsi="Arial"/>
                <w:b w:val="0"/>
                <w:sz w:val="17"/>
              </w:rPr>
              <w:t>Share of templated cases that go ahead</w:t>
            </w:r>
          </w:p>
        </w:tc>
        <w:tc>
          <w:tcPr>
            <w:tcW w:type="dxa" w:w="1300"/>
            <w:shd w:val="clear" w:color="auto" w:fill="F2F2F2"/>
          </w:tcPr>
          <w:p>
            <w:pPr>
              <w:spacing w:after="0" w:before="0"/>
            </w:pPr>
            <w:r>
              <w:rPr>
                <w:rFonts w:ascii="Arial" w:hAnsi="Arial"/>
                <w:b w:val="0"/>
                <w:sz w:val="17"/>
              </w:rPr>
              <w:t>85%</w:t>
            </w:r>
          </w:p>
        </w:tc>
        <w:tc>
          <w:tcPr>
            <w:tcW w:type="dxa" w:w="1300"/>
            <w:shd w:val="clear" w:color="auto" w:fill="F2F2F2"/>
          </w:tcPr>
          <w:p>
            <w:pPr>
              <w:spacing w:after="0" w:before="0"/>
            </w:pPr>
            <w:r>
              <w:rPr>
                <w:rFonts w:ascii="Arial" w:hAnsi="Arial"/>
                <w:b w:val="0"/>
                <w:sz w:val="17"/>
              </w:rPr>
              <w:t>100%</w:t>
            </w:r>
          </w:p>
        </w:tc>
        <w:tc>
          <w:tcPr>
            <w:tcW w:type="dxa" w:w="1563"/>
            <w:shd w:val="clear" w:color="auto" w:fill="F2F2F2"/>
          </w:tcPr>
          <w:p>
            <w:pPr>
              <w:spacing w:after="0" w:before="0"/>
            </w:pPr>
            <w:r>
              <w:rPr>
                <w:rFonts w:ascii="Arial" w:hAnsi="Arial"/>
                <w:b w:val="0"/>
                <w:sz w:val="17"/>
              </w:rPr>
              <w:t>£3,889</w:t>
            </w:r>
          </w:p>
        </w:tc>
        <w:tc>
          <w:tcPr>
            <w:tcW w:type="dxa" w:w="1563"/>
            <w:shd w:val="clear" w:color="auto" w:fill="F2F2F2"/>
          </w:tcPr>
          <w:p>
            <w:pPr>
              <w:spacing w:after="0" w:before="0"/>
            </w:pPr>
            <w:r>
              <w:rPr>
                <w:rFonts w:ascii="Arial" w:hAnsi="Arial"/>
                <w:b w:val="0"/>
                <w:sz w:val="17"/>
              </w:rPr>
              <w:t>£3,759</w:t>
            </w:r>
          </w:p>
        </w:tc>
      </w:tr>
    </w:tbl>
    <w:p/>
    <w:p>
      <w:pPr>
        <w:pStyle w:val="Heading3"/>
      </w:pPr>
      <w:r>
        <w:t>Scenarios</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226"/>
        <w:gridCol w:w="1450"/>
        <w:gridCol w:w="1450"/>
        <w:gridCol w:w="1450"/>
        <w:gridCol w:w="1450"/>
      </w:tblGrid>
      <w:tr>
        <w:trPr>
          <w:tblHeader w:val="true"/>
        </w:trPr>
        <w:tc>
          <w:tcPr>
            <w:tcW w:type="dxa" w:w="3226"/>
            <w:shd w:val="clear" w:color="auto" w:fill="1F3864"/>
          </w:tcPr>
          <w:p>
            <w:pPr>
              <w:spacing w:after="0" w:before="0"/>
            </w:pPr>
            <w:r/>
            <w:r>
              <w:rPr>
                <w:rFonts w:ascii="Arial" w:hAnsi="Arial"/>
                <w:b/>
                <w:color w:val="FFFFFF"/>
                <w:sz w:val="17"/>
              </w:rPr>
              <w:t>Scenario</w:t>
            </w:r>
          </w:p>
        </w:tc>
        <w:tc>
          <w:tcPr>
            <w:tcW w:type="dxa" w:w="1450"/>
            <w:shd w:val="clear" w:color="auto" w:fill="1F3864"/>
          </w:tcPr>
          <w:p>
            <w:pPr>
              <w:spacing w:after="0" w:before="0"/>
            </w:pPr>
            <w:r/>
            <w:r>
              <w:rPr>
                <w:rFonts w:ascii="Arial" w:hAnsi="Arial"/>
                <w:b/>
                <w:color w:val="FFFFFF"/>
                <w:sz w:val="17"/>
              </w:rPr>
              <w:t>5-year extra cost</w:t>
            </w:r>
          </w:p>
        </w:tc>
        <w:tc>
          <w:tcPr>
            <w:tcW w:type="dxa" w:w="1450"/>
            <w:shd w:val="clear" w:color="auto" w:fill="1F3864"/>
          </w:tcPr>
          <w:p>
            <w:pPr>
              <w:spacing w:after="0" w:before="0"/>
            </w:pPr>
            <w:r/>
            <w:r>
              <w:rPr>
                <w:rFonts w:ascii="Arial" w:hAnsi="Arial"/>
                <w:b/>
                <w:color w:val="FFFFFF"/>
                <w:sz w:val="17"/>
              </w:rPr>
              <w:t>Per bed-day released</w:t>
            </w:r>
          </w:p>
        </w:tc>
        <w:tc>
          <w:tcPr>
            <w:tcW w:type="dxa" w:w="1450"/>
            <w:shd w:val="clear" w:color="auto" w:fill="1F3864"/>
          </w:tcPr>
          <w:p>
            <w:pPr>
              <w:spacing w:after="0" w:before="0"/>
            </w:pPr>
            <w:r/>
            <w:r>
              <w:rPr>
                <w:rFonts w:ascii="Arial" w:hAnsi="Arial"/>
                <w:b/>
                <w:color w:val="FFFFFF"/>
                <w:sz w:val="17"/>
              </w:rPr>
              <w:t>Per open operation avoided</w:t>
            </w:r>
          </w:p>
        </w:tc>
        <w:tc>
          <w:tcPr>
            <w:tcW w:type="dxa" w:w="1450"/>
            <w:shd w:val="clear" w:color="auto" w:fill="1F3864"/>
          </w:tcPr>
          <w:p>
            <w:pPr>
              <w:spacing w:after="0" w:before="0"/>
            </w:pPr>
            <w:r/>
            <w:r>
              <w:rPr>
                <w:rFonts w:ascii="Arial" w:hAnsi="Arial"/>
                <w:b/>
                <w:color w:val="FFFFFF"/>
                <w:sz w:val="17"/>
              </w:rPr>
              <w:t>Net present cost</w:t>
            </w:r>
          </w:p>
        </w:tc>
      </w:tr>
      <w:tr>
        <w:tc>
          <w:tcPr>
            <w:tcW w:type="dxa" w:w="3226"/>
          </w:tcPr>
          <w:p>
            <w:pPr>
              <w:spacing w:after="0" w:before="0"/>
            </w:pPr>
            <w:r>
              <w:rPr>
                <w:rFonts w:ascii="Arial" w:hAnsi="Arial"/>
                <w:b w:val="0"/>
                <w:sz w:val="17"/>
              </w:rPr>
              <w:t>Base case (as configured)</w:t>
            </w:r>
          </w:p>
        </w:tc>
        <w:tc>
          <w:tcPr>
            <w:tcW w:type="dxa" w:w="1450"/>
          </w:tcPr>
          <w:p>
            <w:pPr>
              <w:spacing w:after="0" w:before="0"/>
            </w:pPr>
            <w:r>
              <w:rPr>
                <w:rFonts w:ascii="Arial" w:hAnsi="Arial"/>
                <w:b w:val="0"/>
                <w:sz w:val="17"/>
              </w:rPr>
              <w:t>£4.98M</w:t>
            </w:r>
          </w:p>
        </w:tc>
        <w:tc>
          <w:tcPr>
            <w:tcW w:type="dxa" w:w="1450"/>
          </w:tcPr>
          <w:p>
            <w:pPr>
              <w:spacing w:after="0" w:before="0"/>
            </w:pPr>
            <w:r>
              <w:rPr>
                <w:rFonts w:ascii="Arial" w:hAnsi="Arial"/>
                <w:b w:val="0"/>
                <w:sz w:val="17"/>
              </w:rPr>
              <w:t>£3,759</w:t>
            </w:r>
          </w:p>
        </w:tc>
        <w:tc>
          <w:tcPr>
            <w:tcW w:type="dxa" w:w="1450"/>
          </w:tcPr>
          <w:p>
            <w:pPr>
              <w:spacing w:after="0" w:before="0"/>
            </w:pPr>
            <w:r>
              <w:rPr>
                <w:rFonts w:ascii="Arial" w:hAnsi="Arial"/>
                <w:b w:val="0"/>
                <w:sz w:val="17"/>
              </w:rPr>
              <w:t>£7,767</w:t>
            </w:r>
          </w:p>
        </w:tc>
        <w:tc>
          <w:tcPr>
            <w:tcW w:type="dxa" w:w="1450"/>
          </w:tcPr>
          <w:p>
            <w:pPr>
              <w:spacing w:after="0" w:before="0"/>
            </w:pPr>
            <w:r>
              <w:rPr>
                <w:rFonts w:ascii="Arial" w:hAnsi="Arial"/>
                <w:b w:val="0"/>
                <w:sz w:val="17"/>
              </w:rPr>
              <w:t>£4.63M</w:t>
            </w:r>
          </w:p>
        </w:tc>
      </w:tr>
      <w:tr>
        <w:tc>
          <w:tcPr>
            <w:tcW w:type="dxa" w:w="3226"/>
            <w:shd w:val="clear" w:color="auto" w:fill="F2F2F2"/>
          </w:tcPr>
          <w:p>
            <w:pPr>
              <w:spacing w:after="0" w:before="0"/>
            </w:pPr>
            <w:r>
              <w:rPr>
                <w:rFonts w:ascii="Arial" w:hAnsi="Arial"/>
                <w:b w:val="0"/>
                <w:sz w:val="17"/>
              </w:rPr>
              <w:t>No 30-day benefit</w:t>
            </w:r>
          </w:p>
        </w:tc>
        <w:tc>
          <w:tcPr>
            <w:tcW w:type="dxa" w:w="1450"/>
            <w:shd w:val="clear" w:color="auto" w:fill="F2F2F2"/>
          </w:tcPr>
          <w:p>
            <w:pPr>
              <w:spacing w:after="0" w:before="0"/>
            </w:pPr>
            <w:r>
              <w:rPr>
                <w:rFonts w:ascii="Arial" w:hAnsi="Arial"/>
                <w:b w:val="0"/>
                <w:sz w:val="17"/>
              </w:rPr>
              <w:t>£4.98M</w:t>
            </w:r>
          </w:p>
        </w:tc>
        <w:tc>
          <w:tcPr>
            <w:tcW w:type="dxa" w:w="1450"/>
            <w:shd w:val="clear" w:color="auto" w:fill="F2F2F2"/>
          </w:tcPr>
          <w:p>
            <w:pPr>
              <w:spacing w:after="0" w:before="0"/>
            </w:pPr>
            <w:r>
              <w:rPr>
                <w:rFonts w:ascii="Arial" w:hAnsi="Arial"/>
                <w:b w:val="0"/>
                <w:sz w:val="17"/>
              </w:rPr>
              <w:t>n/a</w:t>
            </w:r>
          </w:p>
        </w:tc>
        <w:tc>
          <w:tcPr>
            <w:tcW w:type="dxa" w:w="1450"/>
            <w:shd w:val="clear" w:color="auto" w:fill="F2F2F2"/>
          </w:tcPr>
          <w:p>
            <w:pPr>
              <w:spacing w:after="0" w:before="0"/>
            </w:pPr>
            <w:r>
              <w:rPr>
                <w:rFonts w:ascii="Arial" w:hAnsi="Arial"/>
                <w:b w:val="0"/>
                <w:sz w:val="17"/>
              </w:rPr>
              <w:t>£7,767</w:t>
            </w:r>
          </w:p>
        </w:tc>
        <w:tc>
          <w:tcPr>
            <w:tcW w:type="dxa" w:w="1450"/>
            <w:shd w:val="clear" w:color="auto" w:fill="F2F2F2"/>
          </w:tcPr>
          <w:p>
            <w:pPr>
              <w:spacing w:after="0" w:before="0"/>
            </w:pPr>
            <w:r>
              <w:rPr>
                <w:rFonts w:ascii="Arial" w:hAnsi="Arial"/>
                <w:b w:val="0"/>
                <w:sz w:val="17"/>
              </w:rPr>
              <w:t>£5.27M</w:t>
            </w:r>
          </w:p>
        </w:tc>
      </w:tr>
      <w:tr>
        <w:tc>
          <w:tcPr>
            <w:tcW w:type="dxa" w:w="3226"/>
          </w:tcPr>
          <w:p>
            <w:pPr>
              <w:spacing w:after="0" w:before="0"/>
            </w:pPr>
            <w:r>
              <w:rPr>
                <w:rFonts w:ascii="Arial" w:hAnsi="Arial"/>
                <w:b w:val="0"/>
                <w:sz w:val="17"/>
              </w:rPr>
              <w:t>All benefits halved</w:t>
            </w:r>
          </w:p>
        </w:tc>
        <w:tc>
          <w:tcPr>
            <w:tcW w:type="dxa" w:w="1450"/>
          </w:tcPr>
          <w:p>
            <w:pPr>
              <w:spacing w:after="0" w:before="0"/>
            </w:pPr>
            <w:r>
              <w:rPr>
                <w:rFonts w:ascii="Arial" w:hAnsi="Arial"/>
                <w:b w:val="0"/>
                <w:sz w:val="17"/>
              </w:rPr>
              <w:t>£4.98M</w:t>
            </w:r>
          </w:p>
        </w:tc>
        <w:tc>
          <w:tcPr>
            <w:tcW w:type="dxa" w:w="1450"/>
          </w:tcPr>
          <w:p>
            <w:pPr>
              <w:spacing w:after="0" w:before="0"/>
            </w:pPr>
            <w:r>
              <w:rPr>
                <w:rFonts w:ascii="Arial" w:hAnsi="Arial"/>
                <w:b w:val="0"/>
                <w:sz w:val="17"/>
              </w:rPr>
              <w:t>£7,518</w:t>
            </w:r>
          </w:p>
        </w:tc>
        <w:tc>
          <w:tcPr>
            <w:tcW w:type="dxa" w:w="1450"/>
          </w:tcPr>
          <w:p>
            <w:pPr>
              <w:spacing w:after="0" w:before="0"/>
            </w:pPr>
            <w:r>
              <w:rPr>
                <w:rFonts w:ascii="Arial" w:hAnsi="Arial"/>
                <w:b w:val="0"/>
                <w:sz w:val="17"/>
              </w:rPr>
              <w:t>£7,767</w:t>
            </w:r>
          </w:p>
        </w:tc>
        <w:tc>
          <w:tcPr>
            <w:tcW w:type="dxa" w:w="1450"/>
          </w:tcPr>
          <w:p>
            <w:pPr>
              <w:spacing w:after="0" w:before="0"/>
            </w:pPr>
            <w:r>
              <w:rPr>
                <w:rFonts w:ascii="Arial" w:hAnsi="Arial"/>
                <w:b w:val="0"/>
                <w:sz w:val="17"/>
              </w:rPr>
              <w:t>£4.95M</w:t>
            </w:r>
          </w:p>
        </w:tc>
      </w:tr>
      <w:tr>
        <w:tc>
          <w:tcPr>
            <w:tcW w:type="dxa" w:w="3226"/>
            <w:shd w:val="clear" w:color="auto" w:fill="F2F2F2"/>
          </w:tcPr>
          <w:p>
            <w:pPr>
              <w:spacing w:after="0" w:before="0"/>
            </w:pPr>
            <w:r>
              <w:rPr>
                <w:rFonts w:ascii="Arial" w:hAnsi="Arial"/>
                <w:b w:val="0"/>
                <w:sz w:val="17"/>
              </w:rPr>
              <w:t>All benefits 1.5 times</w:t>
            </w:r>
          </w:p>
        </w:tc>
        <w:tc>
          <w:tcPr>
            <w:tcW w:type="dxa" w:w="1450"/>
            <w:shd w:val="clear" w:color="auto" w:fill="F2F2F2"/>
          </w:tcPr>
          <w:p>
            <w:pPr>
              <w:spacing w:after="0" w:before="0"/>
            </w:pPr>
            <w:r>
              <w:rPr>
                <w:rFonts w:ascii="Arial" w:hAnsi="Arial"/>
                <w:b w:val="0"/>
                <w:sz w:val="17"/>
              </w:rPr>
              <w:t>£4.98M</w:t>
            </w:r>
          </w:p>
        </w:tc>
        <w:tc>
          <w:tcPr>
            <w:tcW w:type="dxa" w:w="1450"/>
            <w:shd w:val="clear" w:color="auto" w:fill="F2F2F2"/>
          </w:tcPr>
          <w:p>
            <w:pPr>
              <w:spacing w:after="0" w:before="0"/>
            </w:pPr>
            <w:r>
              <w:rPr>
                <w:rFonts w:ascii="Arial" w:hAnsi="Arial"/>
                <w:b w:val="0"/>
                <w:sz w:val="17"/>
              </w:rPr>
              <w:t>£2,506</w:t>
            </w:r>
          </w:p>
        </w:tc>
        <w:tc>
          <w:tcPr>
            <w:tcW w:type="dxa" w:w="1450"/>
            <w:shd w:val="clear" w:color="auto" w:fill="F2F2F2"/>
          </w:tcPr>
          <w:p>
            <w:pPr>
              <w:spacing w:after="0" w:before="0"/>
            </w:pPr>
            <w:r>
              <w:rPr>
                <w:rFonts w:ascii="Arial" w:hAnsi="Arial"/>
                <w:b w:val="0"/>
                <w:sz w:val="17"/>
              </w:rPr>
              <w:t>£7,767</w:t>
            </w:r>
          </w:p>
        </w:tc>
        <w:tc>
          <w:tcPr>
            <w:tcW w:type="dxa" w:w="1450"/>
            <w:shd w:val="clear" w:color="auto" w:fill="F2F2F2"/>
          </w:tcPr>
          <w:p>
            <w:pPr>
              <w:spacing w:after="0" w:before="0"/>
            </w:pPr>
            <w:r>
              <w:rPr>
                <w:rFonts w:ascii="Arial" w:hAnsi="Arial"/>
                <w:b w:val="0"/>
                <w:sz w:val="17"/>
              </w:rPr>
              <w:t>£4.31M</w:t>
            </w:r>
          </w:p>
        </w:tc>
      </w:tr>
      <w:tr>
        <w:tc>
          <w:tcPr>
            <w:tcW w:type="dxa" w:w="3226"/>
          </w:tcPr>
          <w:p>
            <w:pPr>
              <w:spacing w:after="0" w:before="0"/>
            </w:pPr>
            <w:r>
              <w:rPr>
                <w:rFonts w:ascii="Arial" w:hAnsi="Arial"/>
                <w:b w:val="0"/>
                <w:sz w:val="17"/>
              </w:rPr>
              <w:t>Instruments: supplier list price</w:t>
            </w:r>
          </w:p>
        </w:tc>
        <w:tc>
          <w:tcPr>
            <w:tcW w:type="dxa" w:w="1450"/>
          </w:tcPr>
          <w:p>
            <w:pPr>
              <w:spacing w:after="0" w:before="0"/>
            </w:pPr>
            <w:r>
              <w:rPr>
                <w:rFonts w:ascii="Arial" w:hAnsi="Arial"/>
                <w:b w:val="0"/>
                <w:sz w:val="17"/>
              </w:rPr>
              <w:t>£5.41M</w:t>
            </w:r>
          </w:p>
        </w:tc>
        <w:tc>
          <w:tcPr>
            <w:tcW w:type="dxa" w:w="1450"/>
          </w:tcPr>
          <w:p>
            <w:pPr>
              <w:spacing w:after="0" w:before="0"/>
            </w:pPr>
            <w:r>
              <w:rPr>
                <w:rFonts w:ascii="Arial" w:hAnsi="Arial"/>
                <w:b w:val="0"/>
                <w:sz w:val="17"/>
              </w:rPr>
              <w:t>£4,079</w:t>
            </w:r>
          </w:p>
        </w:tc>
        <w:tc>
          <w:tcPr>
            <w:tcW w:type="dxa" w:w="1450"/>
          </w:tcPr>
          <w:p>
            <w:pPr>
              <w:spacing w:after="0" w:before="0"/>
            </w:pPr>
            <w:r>
              <w:rPr>
                <w:rFonts w:ascii="Arial" w:hAnsi="Arial"/>
                <w:b w:val="0"/>
                <w:sz w:val="17"/>
              </w:rPr>
              <w:t>£8,428</w:t>
            </w:r>
          </w:p>
        </w:tc>
        <w:tc>
          <w:tcPr>
            <w:tcW w:type="dxa" w:w="1450"/>
          </w:tcPr>
          <w:p>
            <w:pPr>
              <w:spacing w:after="0" w:before="0"/>
            </w:pPr>
            <w:r>
              <w:rPr>
                <w:rFonts w:ascii="Arial" w:hAnsi="Arial"/>
                <w:b w:val="0"/>
                <w:sz w:val="17"/>
              </w:rPr>
              <w:t>£5.01M</w:t>
            </w:r>
          </w:p>
        </w:tc>
      </w:tr>
      <w:tr>
        <w:tc>
          <w:tcPr>
            <w:tcW w:type="dxa" w:w="3226"/>
            <w:shd w:val="clear" w:color="auto" w:fill="F2F2F2"/>
          </w:tcPr>
          <w:p>
            <w:pPr>
              <w:spacing w:after="0" w:before="0"/>
            </w:pPr>
            <w:r>
              <w:rPr>
                <w:rFonts w:ascii="Arial" w:hAnsi="Arial"/>
                <w:b w:val="0"/>
                <w:sz w:val="17"/>
              </w:rPr>
              <w:t>Instruments: volume discount, 30% off list</w:t>
            </w:r>
          </w:p>
        </w:tc>
        <w:tc>
          <w:tcPr>
            <w:tcW w:type="dxa" w:w="1450"/>
            <w:shd w:val="clear" w:color="auto" w:fill="F2F2F2"/>
          </w:tcPr>
          <w:p>
            <w:pPr>
              <w:spacing w:after="0" w:before="0"/>
            </w:pPr>
            <w:r>
              <w:rPr>
                <w:rFonts w:ascii="Arial" w:hAnsi="Arial"/>
                <w:b w:val="0"/>
                <w:sz w:val="17"/>
              </w:rPr>
              <w:t>£4.56M</w:t>
            </w:r>
          </w:p>
        </w:tc>
        <w:tc>
          <w:tcPr>
            <w:tcW w:type="dxa" w:w="1450"/>
            <w:shd w:val="clear" w:color="auto" w:fill="F2F2F2"/>
          </w:tcPr>
          <w:p>
            <w:pPr>
              <w:spacing w:after="0" w:before="0"/>
            </w:pPr>
            <w:r>
              <w:rPr>
                <w:rFonts w:ascii="Arial" w:hAnsi="Arial"/>
                <w:b w:val="0"/>
                <w:sz w:val="17"/>
              </w:rPr>
              <w:t>£3,439</w:t>
            </w:r>
          </w:p>
        </w:tc>
        <w:tc>
          <w:tcPr>
            <w:tcW w:type="dxa" w:w="1450"/>
            <w:shd w:val="clear" w:color="auto" w:fill="F2F2F2"/>
          </w:tcPr>
          <w:p>
            <w:pPr>
              <w:spacing w:after="0" w:before="0"/>
            </w:pPr>
            <w:r>
              <w:rPr>
                <w:rFonts w:ascii="Arial" w:hAnsi="Arial"/>
                <w:b w:val="0"/>
                <w:sz w:val="17"/>
              </w:rPr>
              <w:t>£7,106</w:t>
            </w:r>
          </w:p>
        </w:tc>
        <w:tc>
          <w:tcPr>
            <w:tcW w:type="dxa" w:w="1450"/>
            <w:shd w:val="clear" w:color="auto" w:fill="F2F2F2"/>
          </w:tcPr>
          <w:p>
            <w:pPr>
              <w:spacing w:after="0" w:before="0"/>
            </w:pPr>
            <w:r>
              <w:rPr>
                <w:rFonts w:ascii="Arial" w:hAnsi="Arial"/>
                <w:b w:val="0"/>
                <w:sz w:val="17"/>
              </w:rPr>
              <w:t>£4.25M</w:t>
            </w:r>
          </w:p>
        </w:tc>
      </w:tr>
      <w:tr>
        <w:tc>
          <w:tcPr>
            <w:tcW w:type="dxa" w:w="3226"/>
          </w:tcPr>
          <w:p>
            <w:pPr>
              <w:spacing w:after="0" w:before="0"/>
            </w:pPr>
            <w:r>
              <w:rPr>
                <w:rFonts w:ascii="Arial" w:hAnsi="Arial"/>
                <w:b w:val="0"/>
                <w:sz w:val="17"/>
              </w:rPr>
              <w:t>No central capital (trust funds all capital)</w:t>
            </w:r>
          </w:p>
        </w:tc>
        <w:tc>
          <w:tcPr>
            <w:tcW w:type="dxa" w:w="1450"/>
          </w:tcPr>
          <w:p>
            <w:pPr>
              <w:spacing w:after="0" w:before="0"/>
            </w:pPr>
            <w:r>
              <w:rPr>
                <w:rFonts w:ascii="Arial" w:hAnsi="Arial"/>
                <w:b w:val="0"/>
                <w:sz w:val="17"/>
              </w:rPr>
              <w:t>£5.81M</w:t>
            </w:r>
          </w:p>
        </w:tc>
        <w:tc>
          <w:tcPr>
            <w:tcW w:type="dxa" w:w="1450"/>
          </w:tcPr>
          <w:p>
            <w:pPr>
              <w:spacing w:after="0" w:before="0"/>
            </w:pPr>
            <w:r>
              <w:rPr>
                <w:rFonts w:ascii="Arial" w:hAnsi="Arial"/>
                <w:b w:val="0"/>
                <w:sz w:val="17"/>
              </w:rPr>
              <w:t>£4,383</w:t>
            </w:r>
          </w:p>
        </w:tc>
        <w:tc>
          <w:tcPr>
            <w:tcW w:type="dxa" w:w="1450"/>
          </w:tcPr>
          <w:p>
            <w:pPr>
              <w:spacing w:after="0" w:before="0"/>
            </w:pPr>
            <w:r>
              <w:rPr>
                <w:rFonts w:ascii="Arial" w:hAnsi="Arial"/>
                <w:b w:val="0"/>
                <w:sz w:val="17"/>
              </w:rPr>
              <w:t>£9,056</w:t>
            </w:r>
          </w:p>
        </w:tc>
        <w:tc>
          <w:tcPr>
            <w:tcW w:type="dxa" w:w="1450"/>
          </w:tcPr>
          <w:p>
            <w:pPr>
              <w:spacing w:after="0" w:before="0"/>
            </w:pPr>
            <w:r>
              <w:rPr>
                <w:rFonts w:ascii="Arial" w:hAnsi="Arial"/>
                <w:b w:val="0"/>
                <w:sz w:val="17"/>
              </w:rPr>
              <w:t>£4.63M</w:t>
            </w:r>
          </w:p>
        </w:tc>
      </w:tr>
      <w:tr>
        <w:tc>
          <w:tcPr>
            <w:tcW w:type="dxa" w:w="3226"/>
            <w:shd w:val="clear" w:color="auto" w:fill="F2F2F2"/>
          </w:tcPr>
          <w:p>
            <w:pPr>
              <w:spacing w:after="0" w:before="0"/>
            </w:pPr>
            <w:r>
              <w:rPr>
                <w:rFonts w:ascii="Arial" w:hAnsi="Arial"/>
                <w:b w:val="0"/>
                <w:sz w:val="17"/>
              </w:rPr>
              <w:t>Central capital £2,000,000 per robot</w:t>
            </w:r>
          </w:p>
        </w:tc>
        <w:tc>
          <w:tcPr>
            <w:tcW w:type="dxa" w:w="1450"/>
            <w:shd w:val="clear" w:color="auto" w:fill="F2F2F2"/>
          </w:tcPr>
          <w:p>
            <w:pPr>
              <w:spacing w:after="0" w:before="0"/>
            </w:pPr>
            <w:r>
              <w:rPr>
                <w:rFonts w:ascii="Arial" w:hAnsi="Arial"/>
                <w:b w:val="0"/>
                <w:sz w:val="17"/>
              </w:rPr>
              <w:t>£4.22M</w:t>
            </w:r>
          </w:p>
        </w:tc>
        <w:tc>
          <w:tcPr>
            <w:tcW w:type="dxa" w:w="1450"/>
            <w:shd w:val="clear" w:color="auto" w:fill="F2F2F2"/>
          </w:tcPr>
          <w:p>
            <w:pPr>
              <w:spacing w:after="0" w:before="0"/>
            </w:pPr>
            <w:r>
              <w:rPr>
                <w:rFonts w:ascii="Arial" w:hAnsi="Arial"/>
                <w:b w:val="0"/>
                <w:sz w:val="17"/>
              </w:rPr>
              <w:t>£3,186</w:t>
            </w:r>
          </w:p>
        </w:tc>
        <w:tc>
          <w:tcPr>
            <w:tcW w:type="dxa" w:w="1450"/>
            <w:shd w:val="clear" w:color="auto" w:fill="F2F2F2"/>
          </w:tcPr>
          <w:p>
            <w:pPr>
              <w:spacing w:after="0" w:before="0"/>
            </w:pPr>
            <w:r>
              <w:rPr>
                <w:rFonts w:ascii="Arial" w:hAnsi="Arial"/>
                <w:b w:val="0"/>
                <w:sz w:val="17"/>
              </w:rPr>
              <w:t>£6,582</w:t>
            </w:r>
          </w:p>
        </w:tc>
        <w:tc>
          <w:tcPr>
            <w:tcW w:type="dxa" w:w="1450"/>
            <w:shd w:val="clear" w:color="auto" w:fill="F2F2F2"/>
          </w:tcPr>
          <w:p>
            <w:pPr>
              <w:spacing w:after="0" w:before="0"/>
            </w:pPr>
            <w:r>
              <w:rPr>
                <w:rFonts w:ascii="Arial" w:hAnsi="Arial"/>
                <w:b w:val="0"/>
                <w:sz w:val="17"/>
              </w:rPr>
              <w:t>£4.63M</w:t>
            </w:r>
          </w:p>
        </w:tc>
      </w:tr>
    </w:tbl>
    <w:p/>
    <w:p>
      <w:pPr>
        <w:pStyle w:val="Heading2"/>
      </w:pPr>
      <w:r>
        <w:t>3.6 Break-even</w:t>
      </w:r>
    </w:p>
    <w:p>
      <w:r>
        <w:rPr>
          <w:rFonts w:ascii="Arial" w:hAnsi="Arial"/>
          <w:b w:val="0"/>
          <w:sz w:val="22"/>
        </w:rPr>
        <w:t>Break-even: none. At this case mix each extra case adds more cost than it avoids at 30 days, so higher volume lowers the cost per case but never reaches break-even. The search is limited to the volume the programme could actually deliver: every available session filled at the planned cases per session.</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6500"/>
        <w:gridCol w:w="2526"/>
      </w:tblGrid>
      <w:tr>
        <w:trPr>
          <w:tblHeader w:val="true"/>
        </w:trPr>
        <w:tc>
          <w:tcPr>
            <w:tcW w:type="dxa" w:w="6499"/>
            <w:shd w:val="clear" w:color="auto" w:fill="1F3864"/>
          </w:tcPr>
          <w:p>
            <w:pPr>
              <w:spacing w:after="0" w:before="0"/>
            </w:pPr>
            <w:r/>
            <w:r>
              <w:rPr>
                <w:rFonts w:ascii="Arial" w:hAnsi="Arial"/>
                <w:b/>
                <w:color w:val="FFFFFF"/>
                <w:sz w:val="19"/>
              </w:rPr>
              <w:t>Measure (steady state, per year)</w:t>
            </w:r>
          </w:p>
        </w:tc>
        <w:tc>
          <w:tcPr>
            <w:tcW w:type="dxa" w:w="2526"/>
            <w:shd w:val="clear" w:color="auto" w:fill="1F3864"/>
          </w:tcPr>
          <w:p>
            <w:pPr>
              <w:spacing w:after="0" w:before="0"/>
            </w:pPr>
            <w:r/>
            <w:r>
              <w:rPr>
                <w:rFonts w:ascii="Arial" w:hAnsi="Arial"/>
                <w:b/>
                <w:color w:val="FFFFFF"/>
                <w:sz w:val="19"/>
              </w:rPr>
              <w:t>Value</w:t>
            </w:r>
          </w:p>
        </w:tc>
      </w:tr>
      <w:tr>
        <w:tc>
          <w:tcPr>
            <w:tcW w:type="dxa" w:w="6499"/>
          </w:tcPr>
          <w:p>
            <w:pPr>
              <w:spacing w:after="0" w:before="0"/>
            </w:pPr>
            <w:r>
              <w:rPr>
                <w:rFonts w:ascii="Arial" w:hAnsi="Arial"/>
                <w:b w:val="0"/>
                <w:sz w:val="19"/>
              </w:rPr>
              <w:t>Planned robotic cases</w:t>
            </w:r>
          </w:p>
        </w:tc>
        <w:tc>
          <w:tcPr>
            <w:tcW w:type="dxa" w:w="2526"/>
          </w:tcPr>
          <w:p>
            <w:pPr>
              <w:spacing w:after="0" w:before="0"/>
            </w:pPr>
            <w:r>
              <w:rPr>
                <w:rFonts w:ascii="Arial" w:hAnsi="Arial"/>
                <w:b w:val="0"/>
                <w:sz w:val="19"/>
              </w:rPr>
              <w:t>410</w:t>
            </w:r>
          </w:p>
        </w:tc>
      </w:tr>
      <w:tr>
        <w:tc>
          <w:tcPr>
            <w:tcW w:type="dxa" w:w="6499"/>
            <w:shd w:val="clear" w:color="auto" w:fill="F2F2F2"/>
          </w:tcPr>
          <w:p>
            <w:pPr>
              <w:spacing w:after="0" w:before="0"/>
            </w:pPr>
            <w:r>
              <w:rPr>
                <w:rFonts w:ascii="Arial" w:hAnsi="Arial"/>
                <w:b w:val="0"/>
                <w:sz w:val="19"/>
              </w:rPr>
              <w:t>Maximum deliverable cases</w:t>
            </w:r>
          </w:p>
        </w:tc>
        <w:tc>
          <w:tcPr>
            <w:tcW w:type="dxa" w:w="2526"/>
            <w:shd w:val="clear" w:color="auto" w:fill="F2F2F2"/>
          </w:tcPr>
          <w:p>
            <w:pPr>
              <w:spacing w:after="0" w:before="0"/>
            </w:pPr>
            <w:r>
              <w:rPr>
                <w:rFonts w:ascii="Arial" w:hAnsi="Arial"/>
                <w:b w:val="0"/>
                <w:sz w:val="19"/>
              </w:rPr>
              <w:t>410</w:t>
            </w:r>
          </w:p>
        </w:tc>
      </w:tr>
      <w:tr>
        <w:tc>
          <w:tcPr>
            <w:tcW w:type="dxa" w:w="6499"/>
          </w:tcPr>
          <w:p>
            <w:pPr>
              <w:spacing w:after="0" w:before="0"/>
            </w:pPr>
            <w:r>
              <w:rPr>
                <w:rFonts w:ascii="Arial" w:hAnsi="Arial"/>
                <w:b w:val="0"/>
                <w:sz w:val="19"/>
              </w:rPr>
              <w:t>Extra cost less 30-day cost avoided at the planned volume</w:t>
            </w:r>
          </w:p>
        </w:tc>
        <w:tc>
          <w:tcPr>
            <w:tcW w:type="dxa" w:w="2526"/>
          </w:tcPr>
          <w:p>
            <w:pPr>
              <w:spacing w:after="0" w:before="0"/>
            </w:pPr>
            <w:r>
              <w:rPr>
                <w:rFonts w:ascii="Arial" w:hAnsi="Arial"/>
                <w:b w:val="0"/>
                <w:sz w:val="19"/>
              </w:rPr>
              <w:t>£861,224</w:t>
            </w:r>
          </w:p>
        </w:tc>
      </w:tr>
      <w:tr>
        <w:tc>
          <w:tcPr>
            <w:tcW w:type="dxa" w:w="6499"/>
            <w:shd w:val="clear" w:color="auto" w:fill="F2F2F2"/>
          </w:tcPr>
          <w:p>
            <w:pPr>
              <w:spacing w:after="0" w:before="0"/>
            </w:pPr>
            <w:r>
              <w:rPr>
                <w:rFonts w:ascii="Arial" w:hAnsi="Arial"/>
                <w:b w:val="0"/>
                <w:sz w:val="19"/>
              </w:rPr>
              <w:t>Extra cost less 30-day cost avoided at the maximum volume</w:t>
            </w:r>
          </w:p>
        </w:tc>
        <w:tc>
          <w:tcPr>
            <w:tcW w:type="dxa" w:w="2526"/>
            <w:shd w:val="clear" w:color="auto" w:fill="F2F2F2"/>
          </w:tcPr>
          <w:p>
            <w:pPr>
              <w:spacing w:after="0" w:before="0"/>
            </w:pPr>
            <w:r>
              <w:rPr>
                <w:rFonts w:ascii="Arial" w:hAnsi="Arial"/>
                <w:b w:val="0"/>
                <w:sz w:val="19"/>
              </w:rPr>
              <w:t>£861,224</w:t>
            </w:r>
          </w:p>
        </w:tc>
      </w:tr>
      <w:tr>
        <w:tc>
          <w:tcPr>
            <w:tcW w:type="dxa" w:w="6499"/>
          </w:tcPr>
          <w:p>
            <w:pPr>
              <w:spacing w:after="0" w:before="0"/>
            </w:pPr>
            <w:r>
              <w:rPr>
                <w:rFonts w:ascii="Arial" w:hAnsi="Arial"/>
                <w:b w:val="0"/>
                <w:sz w:val="19"/>
              </w:rPr>
              <w:t>Break-even volume</w:t>
            </w:r>
          </w:p>
        </w:tc>
        <w:tc>
          <w:tcPr>
            <w:tcW w:type="dxa" w:w="2526"/>
          </w:tcPr>
          <w:p>
            <w:pPr>
              <w:spacing w:after="0" w:before="0"/>
            </w:pPr>
            <w:r>
              <w:rPr>
                <w:rFonts w:ascii="Arial" w:hAnsi="Arial"/>
                <w:b w:val="0"/>
                <w:sz w:val="19"/>
              </w:rPr>
              <w:t>not reached</w:t>
            </w:r>
          </w:p>
        </w:tc>
      </w:tr>
    </w:tbl>
    <w:p/>
    <w:p>
      <w:pPr>
        <w:pStyle w:val="Heading2"/>
      </w:pPr>
      <w:r>
        <w:t>3.7 Economic view (net of 30-day cost avoided)</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6500"/>
        <w:gridCol w:w="2526"/>
      </w:tblGrid>
      <w:tr>
        <w:trPr>
          <w:tblHeader w:val="true"/>
        </w:trPr>
        <w:tc>
          <w:tcPr>
            <w:tcW w:type="dxa" w:w="6499"/>
            <w:shd w:val="clear" w:color="auto" w:fill="1F3864"/>
          </w:tcPr>
          <w:p>
            <w:pPr>
              <w:spacing w:after="0" w:before="0"/>
            </w:pPr>
            <w:r/>
            <w:r>
              <w:rPr>
                <w:rFonts w:ascii="Arial" w:hAnsi="Arial"/>
                <w:b/>
                <w:color w:val="FFFFFF"/>
                <w:sz w:val="19"/>
              </w:rPr>
              <w:t>Measure</w:t>
            </w:r>
          </w:p>
        </w:tc>
        <w:tc>
          <w:tcPr>
            <w:tcW w:type="dxa" w:w="2526"/>
            <w:shd w:val="clear" w:color="auto" w:fill="1F3864"/>
          </w:tcPr>
          <w:p>
            <w:pPr>
              <w:spacing w:after="0" w:before="0"/>
            </w:pPr>
            <w:r/>
            <w:r>
              <w:rPr>
                <w:rFonts w:ascii="Arial" w:hAnsi="Arial"/>
                <w:b/>
                <w:color w:val="FFFFFF"/>
                <w:sz w:val="19"/>
              </w:rPr>
              <w:t>Value</w:t>
            </w:r>
          </w:p>
        </w:tc>
      </w:tr>
      <w:tr>
        <w:tc>
          <w:tcPr>
            <w:tcW w:type="dxa" w:w="6499"/>
          </w:tcPr>
          <w:p>
            <w:pPr>
              <w:spacing w:after="0" w:before="0"/>
            </w:pPr>
            <w:r>
              <w:rPr>
                <w:rFonts w:ascii="Arial" w:hAnsi="Arial"/>
                <w:b w:val="0"/>
                <w:sz w:val="19"/>
              </w:rPr>
              <w:t>Net present cost to the NHS (5 years, 3.5%)</w:t>
            </w:r>
          </w:p>
        </w:tc>
        <w:tc>
          <w:tcPr>
            <w:tcW w:type="dxa" w:w="2526"/>
          </w:tcPr>
          <w:p>
            <w:pPr>
              <w:spacing w:after="0" w:before="0"/>
            </w:pPr>
            <w:r>
              <w:rPr>
                <w:rFonts w:ascii="Arial" w:hAnsi="Arial"/>
                <w:b w:val="0"/>
                <w:sz w:val="19"/>
              </w:rPr>
              <w:t>£4.63M</w:t>
            </w:r>
          </w:p>
        </w:tc>
      </w:tr>
      <w:tr>
        <w:tc>
          <w:tcPr>
            <w:tcW w:type="dxa" w:w="6499"/>
            <w:shd w:val="clear" w:color="auto" w:fill="F2F2F2"/>
          </w:tcPr>
          <w:p>
            <w:pPr>
              <w:spacing w:after="0" w:before="0"/>
            </w:pPr>
            <w:r>
              <w:rPr>
                <w:rFonts w:ascii="Arial" w:hAnsi="Arial"/>
                <w:b w:val="0"/>
                <w:sz w:val="19"/>
              </w:rPr>
              <w:t>30-day cost avoided over five years</w:t>
            </w:r>
          </w:p>
        </w:tc>
        <w:tc>
          <w:tcPr>
            <w:tcW w:type="dxa" w:w="2526"/>
            <w:shd w:val="clear" w:color="auto" w:fill="F2F2F2"/>
          </w:tcPr>
          <w:p>
            <w:pPr>
              <w:spacing w:after="0" w:before="0"/>
            </w:pPr>
            <w:r>
              <w:rPr>
                <w:rFonts w:ascii="Arial" w:hAnsi="Arial"/>
                <w:b w:val="0"/>
                <w:sz w:val="19"/>
              </w:rPr>
              <w:t>£709,358</w:t>
            </w:r>
          </w:p>
        </w:tc>
      </w:tr>
      <w:tr>
        <w:tc>
          <w:tcPr>
            <w:tcW w:type="dxa" w:w="6499"/>
          </w:tcPr>
          <w:p>
            <w:pPr>
              <w:spacing w:after="0" w:before="0"/>
            </w:pPr>
            <w:r>
              <w:rPr>
                <w:rFonts w:ascii="Arial" w:hAnsi="Arial"/>
                <w:b w:val="0"/>
                <w:sz w:val="19"/>
              </w:rPr>
              <w:t>Net cost per robotic operation</w:t>
            </w:r>
          </w:p>
        </w:tc>
        <w:tc>
          <w:tcPr>
            <w:tcW w:type="dxa" w:w="2526"/>
          </w:tcPr>
          <w:p>
            <w:pPr>
              <w:spacing w:after="0" w:before="0"/>
            </w:pPr>
            <w:r>
              <w:rPr>
                <w:rFonts w:ascii="Arial" w:hAnsi="Arial"/>
                <w:b w:val="0"/>
                <w:sz w:val="19"/>
              </w:rPr>
              <w:t>£2,267</w:t>
            </w:r>
          </w:p>
        </w:tc>
      </w:tr>
      <w:tr>
        <w:tc>
          <w:tcPr>
            <w:tcW w:type="dxa" w:w="6499"/>
            <w:shd w:val="clear" w:color="auto" w:fill="F2F2F2"/>
          </w:tcPr>
          <w:p>
            <w:pPr>
              <w:spacing w:after="0" w:before="0"/>
            </w:pPr>
            <w:r>
              <w:rPr>
                <w:rFonts w:ascii="Arial" w:hAnsi="Arial"/>
                <w:b w:val="0"/>
                <w:sz w:val="19"/>
              </w:rPr>
              <w:t>Net cost per open operation avoided</w:t>
            </w:r>
          </w:p>
        </w:tc>
        <w:tc>
          <w:tcPr>
            <w:tcW w:type="dxa" w:w="2526"/>
            <w:shd w:val="clear" w:color="auto" w:fill="F2F2F2"/>
          </w:tcPr>
          <w:p>
            <w:pPr>
              <w:spacing w:after="0" w:before="0"/>
            </w:pPr>
            <w:r>
              <w:rPr>
                <w:rFonts w:ascii="Arial" w:hAnsi="Arial"/>
                <w:b w:val="0"/>
                <w:sz w:val="19"/>
              </w:rPr>
              <w:t>£6,662</w:t>
            </w:r>
          </w:p>
        </w:tc>
      </w:tr>
      <w:tr>
        <w:tc>
          <w:tcPr>
            <w:tcW w:type="dxa" w:w="6499"/>
          </w:tcPr>
          <w:p>
            <w:pPr>
              <w:spacing w:after="0" w:before="0"/>
            </w:pPr>
            <w:r>
              <w:rPr>
                <w:rFonts w:ascii="Arial" w:hAnsi="Arial"/>
                <w:b w:val="0"/>
                <w:sz w:val="19"/>
              </w:rPr>
              <w:t>Net cost per bed-day released</w:t>
            </w:r>
          </w:p>
        </w:tc>
        <w:tc>
          <w:tcPr>
            <w:tcW w:type="dxa" w:w="2526"/>
          </w:tcPr>
          <w:p>
            <w:pPr>
              <w:spacing w:after="0" w:before="0"/>
            </w:pPr>
            <w:r>
              <w:rPr>
                <w:rFonts w:ascii="Arial" w:hAnsi="Arial"/>
                <w:b w:val="0"/>
                <w:sz w:val="19"/>
              </w:rPr>
              <w:t>£3,224</w:t>
            </w:r>
          </w:p>
        </w:tc>
      </w:tr>
    </w:tbl>
    <w:p/>
    <w:p>
      <w:r>
        <w:rPr>
          <w:rFonts w:ascii="Arial" w:hAnsi="Arial"/>
          <w:b w:val="0"/>
          <w:sz w:val="22"/>
        </w:rPr>
        <w:t>The net present cost counts capital in full in year 0 whoever pays it, so it does not change with central capital. 30-day cost avoided is an economic value: it becomes cash only if beds or staff are removed or the released capacity is used for income-earning activity.</w:t>
      </w:r>
    </w:p>
    <w:p>
      <w:pPr>
        <w:pStyle w:val="Heading2"/>
      </w:pPr>
      <w:r>
        <w:t>3.8 Benefits not valued in cash</w:t>
      </w:r>
    </w:p>
    <w:p>
      <w:pPr>
        <w:pStyle w:val="ListBullet"/>
      </w:pPr>
      <w:r>
        <w:rPr>
          <w:rFonts w:ascii="Arial" w:hAnsi="Arial"/>
          <w:b w:val="0"/>
          <w:sz w:val="22"/>
        </w:rPr>
        <w:t>Wider access to minimal access surgery for patients who would otherwise have open surgery.</w:t>
      </w:r>
    </w:p>
    <w:p>
      <w:pPr>
        <w:pStyle w:val="ListBullet"/>
      </w:pPr>
      <w:r>
        <w:rPr>
          <w:rFonts w:ascii="Arial" w:hAnsi="Arial"/>
          <w:b w:val="0"/>
          <w:sz w:val="22"/>
        </w:rPr>
        <w:t>Surgical training and recruitment and retention of surgeons and theatre teams.</w:t>
      </w:r>
    </w:p>
    <w:p>
      <w:pPr>
        <w:pStyle w:val="ListBullet"/>
      </w:pPr>
      <w:r>
        <w:rPr>
          <w:rFonts w:ascii="Arial" w:hAnsi="Arial"/>
          <w:b w:val="0"/>
          <w:sz w:val="22"/>
        </w:rPr>
        <w:t>Ergonomic benefit to surgeons.</w:t>
      </w:r>
    </w:p>
    <w:p>
      <w:pPr>
        <w:pStyle w:val="ListBullet"/>
      </w:pPr>
      <w:r>
        <w:rPr>
          <w:rFonts w:ascii="Arial" w:hAnsi="Arial"/>
          <w:b w:val="0"/>
          <w:sz w:val="22"/>
        </w:rPr>
        <w:t>Capacity released by shorter stays, available for further elective activity.</w:t>
      </w:r>
    </w:p>
    <w:p>
      <w:r>
        <w:br w:type="page"/>
      </w:r>
    </w:p>
    <w:p>
      <w:pPr>
        <w:pStyle w:val="Heading1"/>
      </w:pPr>
      <w:r>
        <w:t>4. Commercial case</w:t>
      </w:r>
    </w:p>
    <w:p>
      <w:pPr>
        <w:pStyle w:val="Heading2"/>
      </w:pPr>
      <w:r>
        <w:t>4.1 Procurement route</w:t>
      </w:r>
    </w:p>
    <w:p>
      <w:r>
        <w:rPr>
          <w:rFonts w:ascii="Arial" w:hAnsi="Arial"/>
          <w:b w:val="0"/>
          <w:sz w:val="22"/>
          <w:highlight w:val="yellow"/>
        </w:rPr>
        <w:t>[State the procurement route, for example the national framework for robotic medical equipment managed by NHS Supply Chain, or a competitive tender, and the evaluation criteria.]</w:t>
      </w:r>
      <w:r>
        <w:rPr>
          <w:rFonts w:ascii="Arial" w:hAnsi="Arial"/>
          <w:b w:val="0"/>
          <w:sz w:val="22"/>
        </w:rPr>
        <w:t xml:space="preserve"> Four payment models have been compared on identical terms: outright purchase, lease, managed service and per-procedure fee.</w:t>
      </w:r>
    </w:p>
    <w:p>
      <w:pPr>
        <w:pStyle w:val="Heading2"/>
      </w:pPr>
      <w:r>
        <w:t>4.2 Price inputs used</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600"/>
        <w:gridCol w:w="5426"/>
      </w:tblGrid>
      <w:tr>
        <w:trPr>
          <w:tblHeader w:val="true"/>
        </w:trPr>
        <w:tc>
          <w:tcPr>
            <w:tcW w:type="dxa" w:w="3600"/>
            <w:shd w:val="clear" w:color="auto" w:fill="1F3864"/>
          </w:tcPr>
          <w:p>
            <w:pPr>
              <w:spacing w:after="0" w:before="0"/>
            </w:pPr>
            <w:r/>
            <w:r>
              <w:rPr>
                <w:rFonts w:ascii="Arial" w:hAnsi="Arial"/>
                <w:b/>
                <w:color w:val="FFFFFF"/>
                <w:sz w:val="19"/>
              </w:rPr>
              <w:t>Item</w:t>
            </w:r>
          </w:p>
        </w:tc>
        <w:tc>
          <w:tcPr>
            <w:tcW w:type="dxa" w:w="5425"/>
            <w:shd w:val="clear" w:color="auto" w:fill="1F3864"/>
          </w:tcPr>
          <w:p>
            <w:pPr>
              <w:spacing w:after="0" w:before="0"/>
            </w:pPr>
            <w:r/>
            <w:r>
              <w:rPr>
                <w:rFonts w:ascii="Arial" w:hAnsi="Arial"/>
                <w:b/>
                <w:color w:val="FFFFFF"/>
                <w:sz w:val="19"/>
              </w:rPr>
              <w:t>Value</w:t>
            </w:r>
          </w:p>
        </w:tc>
      </w:tr>
      <w:tr>
        <w:tc>
          <w:tcPr>
            <w:tcW w:type="dxa" w:w="3600"/>
          </w:tcPr>
          <w:p>
            <w:pPr>
              <w:spacing w:after="0" w:before="0"/>
            </w:pPr>
            <w:r>
              <w:rPr>
                <w:rFonts w:ascii="Arial" w:hAnsi="Arial"/>
                <w:b w:val="0"/>
                <w:sz w:val="19"/>
              </w:rPr>
              <w:t>Platform</w:t>
            </w:r>
          </w:p>
        </w:tc>
        <w:tc>
          <w:tcPr>
            <w:tcW w:type="dxa" w:w="5425"/>
          </w:tcPr>
          <w:p>
            <w:pPr>
              <w:spacing w:after="0" w:before="0"/>
            </w:pPr>
            <w:r>
              <w:rPr>
                <w:rFonts w:ascii="Arial" w:hAnsi="Arial"/>
                <w:b w:val="0"/>
                <w:sz w:val="19"/>
              </w:rPr>
              <w:t>Platform B: established multi-port (purchase)</w:t>
            </w:r>
          </w:p>
        </w:tc>
      </w:tr>
      <w:tr>
        <w:tc>
          <w:tcPr>
            <w:tcW w:type="dxa" w:w="3600"/>
            <w:shd w:val="clear" w:color="auto" w:fill="F2F2F2"/>
          </w:tcPr>
          <w:p>
            <w:pPr>
              <w:spacing w:after="0" w:before="0"/>
            </w:pPr>
            <w:r>
              <w:rPr>
                <w:rFonts w:ascii="Arial" w:hAnsi="Arial"/>
                <w:b w:val="0"/>
                <w:sz w:val="19"/>
              </w:rPr>
              <w:t>Procurement model</w:t>
            </w:r>
          </w:p>
        </w:tc>
        <w:tc>
          <w:tcPr>
            <w:tcW w:type="dxa" w:w="5425"/>
            <w:shd w:val="clear" w:color="auto" w:fill="F2F2F2"/>
          </w:tcPr>
          <w:p>
            <w:pPr>
              <w:spacing w:after="0" w:before="0"/>
            </w:pPr>
            <w:r>
              <w:rPr>
                <w:rFonts w:ascii="Arial" w:hAnsi="Arial"/>
                <w:b w:val="0"/>
                <w:sz w:val="19"/>
              </w:rPr>
              <w:t>Purchase</w:t>
            </w:r>
          </w:p>
        </w:tc>
      </w:tr>
      <w:tr>
        <w:tc>
          <w:tcPr>
            <w:tcW w:type="dxa" w:w="3600"/>
          </w:tcPr>
          <w:p>
            <w:pPr>
              <w:spacing w:after="0" w:before="0"/>
            </w:pPr>
            <w:r>
              <w:rPr>
                <w:rFonts w:ascii="Arial" w:hAnsi="Arial"/>
                <w:b w:val="0"/>
                <w:sz w:val="19"/>
              </w:rPr>
              <w:t>Capital per robot</w:t>
            </w:r>
          </w:p>
        </w:tc>
        <w:tc>
          <w:tcPr>
            <w:tcW w:type="dxa" w:w="5425"/>
          </w:tcPr>
          <w:p>
            <w:pPr>
              <w:spacing w:after="0" w:before="0"/>
            </w:pPr>
            <w:r>
              <w:rPr>
                <w:rFonts w:ascii="Arial" w:hAnsi="Arial"/>
                <w:b w:val="0"/>
                <w:sz w:val="19"/>
              </w:rPr>
              <w:t>£1,920,000</w:t>
            </w:r>
          </w:p>
        </w:tc>
      </w:tr>
      <w:tr>
        <w:tc>
          <w:tcPr>
            <w:tcW w:type="dxa" w:w="3600"/>
            <w:shd w:val="clear" w:color="auto" w:fill="F2F2F2"/>
          </w:tcPr>
          <w:p>
            <w:pPr>
              <w:spacing w:after="0" w:before="0"/>
            </w:pPr>
            <w:r>
              <w:rPr>
                <w:rFonts w:ascii="Arial" w:hAnsi="Arial"/>
                <w:b w:val="0"/>
                <w:sz w:val="19"/>
              </w:rPr>
              <w:t>Trade-in credit</w:t>
            </w:r>
          </w:p>
        </w:tc>
        <w:tc>
          <w:tcPr>
            <w:tcW w:type="dxa" w:w="5425"/>
            <w:shd w:val="clear" w:color="auto" w:fill="F2F2F2"/>
          </w:tcPr>
          <w:p>
            <w:pPr>
              <w:spacing w:after="0" w:before="0"/>
            </w:pPr>
            <w:r>
              <w:rPr>
                <w:rFonts w:ascii="Arial" w:hAnsi="Arial"/>
                <w:b w:val="0"/>
                <w:sz w:val="19"/>
              </w:rPr>
              <w:t>£0</w:t>
            </w:r>
          </w:p>
        </w:tc>
      </w:tr>
      <w:tr>
        <w:tc>
          <w:tcPr>
            <w:tcW w:type="dxa" w:w="3600"/>
          </w:tcPr>
          <w:p>
            <w:pPr>
              <w:spacing w:after="0" w:before="0"/>
            </w:pPr>
            <w:r>
              <w:rPr>
                <w:rFonts w:ascii="Arial" w:hAnsi="Arial"/>
                <w:b w:val="0"/>
                <w:sz w:val="19"/>
              </w:rPr>
              <w:t>Central capital per robot</w:t>
            </w:r>
          </w:p>
        </w:tc>
        <w:tc>
          <w:tcPr>
            <w:tcW w:type="dxa" w:w="5425"/>
          </w:tcPr>
          <w:p>
            <w:pPr>
              <w:spacing w:after="0" w:before="0"/>
            </w:pPr>
            <w:r>
              <w:rPr>
                <w:rFonts w:ascii="Arial" w:hAnsi="Arial"/>
                <w:b w:val="0"/>
                <w:sz w:val="19"/>
              </w:rPr>
              <w:t>£1,000,000</w:t>
            </w:r>
          </w:p>
        </w:tc>
      </w:tr>
      <w:tr>
        <w:tc>
          <w:tcPr>
            <w:tcW w:type="dxa" w:w="3600"/>
            <w:shd w:val="clear" w:color="auto" w:fill="F2F2F2"/>
          </w:tcPr>
          <w:p>
            <w:pPr>
              <w:spacing w:after="0" w:before="0"/>
            </w:pPr>
            <w:r>
              <w:rPr>
                <w:rFonts w:ascii="Arial" w:hAnsi="Arial"/>
                <w:b w:val="0"/>
                <w:sz w:val="19"/>
              </w:rPr>
              <w:t>Asset life</w:t>
            </w:r>
          </w:p>
        </w:tc>
        <w:tc>
          <w:tcPr>
            <w:tcW w:type="dxa" w:w="5425"/>
            <w:shd w:val="clear" w:color="auto" w:fill="F2F2F2"/>
          </w:tcPr>
          <w:p>
            <w:pPr>
              <w:spacing w:after="0" w:before="0"/>
            </w:pPr>
            <w:r>
              <w:rPr>
                <w:rFonts w:ascii="Arial" w:hAnsi="Arial"/>
                <w:b w:val="0"/>
                <w:sz w:val="19"/>
              </w:rPr>
              <w:t>7 years</w:t>
            </w:r>
          </w:p>
        </w:tc>
      </w:tr>
      <w:tr>
        <w:tc>
          <w:tcPr>
            <w:tcW w:type="dxa" w:w="3600"/>
          </w:tcPr>
          <w:p>
            <w:pPr>
              <w:spacing w:after="0" w:before="0"/>
            </w:pPr>
            <w:r>
              <w:rPr>
                <w:rFonts w:ascii="Arial" w:hAnsi="Arial"/>
                <w:b w:val="0"/>
                <w:sz w:val="19"/>
              </w:rPr>
              <w:t>Maintenance per robot per year</w:t>
            </w:r>
          </w:p>
        </w:tc>
        <w:tc>
          <w:tcPr>
            <w:tcW w:type="dxa" w:w="5425"/>
          </w:tcPr>
          <w:p>
            <w:pPr>
              <w:spacing w:after="0" w:before="0"/>
            </w:pPr>
            <w:r>
              <w:rPr>
                <w:rFonts w:ascii="Arial" w:hAnsi="Arial"/>
                <w:b w:val="0"/>
                <w:sz w:val="19"/>
              </w:rPr>
              <w:t>£150,000</w:t>
            </w:r>
          </w:p>
        </w:tc>
      </w:tr>
      <w:tr>
        <w:tc>
          <w:tcPr>
            <w:tcW w:type="dxa" w:w="3600"/>
            <w:shd w:val="clear" w:color="auto" w:fill="F2F2F2"/>
          </w:tcPr>
          <w:p>
            <w:pPr>
              <w:spacing w:after="0" w:before="0"/>
            </w:pPr>
            <w:r>
              <w:rPr>
                <w:rFonts w:ascii="Arial" w:hAnsi="Arial"/>
                <w:b w:val="0"/>
                <w:sz w:val="19"/>
              </w:rPr>
              <w:t>Instrument price per case</w:t>
            </w:r>
          </w:p>
        </w:tc>
        <w:tc>
          <w:tcPr>
            <w:tcW w:type="dxa" w:w="5425"/>
            <w:shd w:val="clear" w:color="auto" w:fill="F2F2F2"/>
          </w:tcPr>
          <w:p>
            <w:pPr>
              <w:spacing w:after="0" w:before="0"/>
            </w:pPr>
            <w:r>
              <w:rPr>
                <w:rFonts w:ascii="Arial" w:hAnsi="Arial"/>
                <w:b w:val="0"/>
                <w:sz w:val="19"/>
              </w:rPr>
              <w:t>£1,275 (standard discount, 15% off list)</w:t>
            </w:r>
          </w:p>
        </w:tc>
      </w:tr>
      <w:tr>
        <w:tc>
          <w:tcPr>
            <w:tcW w:type="dxa" w:w="3600"/>
          </w:tcPr>
          <w:p>
            <w:pPr>
              <w:spacing w:after="0" w:before="0"/>
            </w:pPr>
            <w:r>
              <w:rPr>
                <w:rFonts w:ascii="Arial" w:hAnsi="Arial"/>
                <w:b w:val="0"/>
                <w:sz w:val="19"/>
              </w:rPr>
              <w:t>Price basis</w:t>
            </w:r>
          </w:p>
        </w:tc>
        <w:tc>
          <w:tcPr>
            <w:tcW w:type="dxa" w:w="5425"/>
          </w:tcPr>
          <w:p>
            <w:pPr>
              <w:spacing w:after="0" w:before="0"/>
            </w:pPr>
            <w:r>
              <w:rPr>
                <w:rFonts w:ascii="Arial" w:hAnsi="Arial"/>
                <w:b w:val="0"/>
                <w:sz w:val="19"/>
              </w:rPr>
              <w:t>Capital from a published NHS trust business case (May 2026; reference to be re-confirmed). Of the same order as an earlier NHS full business case (about £2 million capital and £150,000 maintenance a year). Instruments: US single-centre average about $1,500 per case</w:t>
            </w:r>
          </w:p>
        </w:tc>
      </w:tr>
    </w:tbl>
    <w:p/>
    <w:p>
      <w:pPr>
        <w:pStyle w:val="Heading2"/>
      </w:pPr>
      <w:r>
        <w:t>4.3 Negotiating targets</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5600"/>
        <w:gridCol w:w="3426"/>
      </w:tblGrid>
      <w:tr>
        <w:trPr>
          <w:tblHeader w:val="true"/>
        </w:trPr>
        <w:tc>
          <w:tcPr>
            <w:tcW w:type="dxa" w:w="5599"/>
            <w:shd w:val="clear" w:color="auto" w:fill="1F3864"/>
          </w:tcPr>
          <w:p>
            <w:pPr>
              <w:spacing w:after="0" w:before="0"/>
            </w:pPr>
            <w:r/>
            <w:r>
              <w:rPr>
                <w:rFonts w:ascii="Arial" w:hAnsi="Arial"/>
                <w:b/>
                <w:color w:val="FFFFFF"/>
                <w:sz w:val="19"/>
              </w:rPr>
              <w:t>Target (net of 30-day cost avoided)</w:t>
            </w:r>
          </w:p>
        </w:tc>
        <w:tc>
          <w:tcPr>
            <w:tcW w:type="dxa" w:w="3426"/>
            <w:shd w:val="clear" w:color="auto" w:fill="1F3864"/>
          </w:tcPr>
          <w:p>
            <w:pPr>
              <w:spacing w:after="0" w:before="0"/>
            </w:pPr>
            <w:r/>
            <w:r>
              <w:rPr>
                <w:rFonts w:ascii="Arial" w:hAnsi="Arial"/>
                <w:b/>
                <w:color w:val="FFFFFF"/>
                <w:sz w:val="19"/>
              </w:rPr>
              <w:t>Instrument price per case needed</w:t>
            </w:r>
          </w:p>
        </w:tc>
      </w:tr>
      <w:tr>
        <w:tc>
          <w:tcPr>
            <w:tcW w:type="dxa" w:w="5599"/>
          </w:tcPr>
          <w:p>
            <w:pPr>
              <w:spacing w:after="0" w:before="0"/>
            </w:pPr>
            <w:r>
              <w:rPr>
                <w:rFonts w:ascii="Arial" w:hAnsi="Arial"/>
                <w:b w:val="0"/>
                <w:sz w:val="19"/>
              </w:rPr>
              <w:t>Current assumption</w:t>
            </w:r>
          </w:p>
        </w:tc>
        <w:tc>
          <w:tcPr>
            <w:tcW w:type="dxa" w:w="3426"/>
          </w:tcPr>
          <w:p>
            <w:pPr>
              <w:spacing w:after="0" w:before="0"/>
            </w:pPr>
            <w:r>
              <w:rPr>
                <w:rFonts w:ascii="Arial" w:hAnsi="Arial"/>
                <w:b w:val="0"/>
                <w:sz w:val="19"/>
              </w:rPr>
              <w:t>£1,275</w:t>
            </w:r>
          </w:p>
        </w:tc>
      </w:tr>
      <w:tr>
        <w:tc>
          <w:tcPr>
            <w:tcW w:type="dxa" w:w="5599"/>
            <w:shd w:val="clear" w:color="auto" w:fill="F2F2F2"/>
          </w:tcPr>
          <w:p>
            <w:pPr>
              <w:spacing w:after="0" w:before="0"/>
            </w:pPr>
            <w:r>
              <w:rPr>
                <w:rFonts w:ascii="Arial" w:hAnsi="Arial"/>
                <w:b w:val="0"/>
                <w:sz w:val="19"/>
              </w:rPr>
              <w:t>Supplier list price</w:t>
            </w:r>
          </w:p>
        </w:tc>
        <w:tc>
          <w:tcPr>
            <w:tcW w:type="dxa" w:w="3426"/>
            <w:shd w:val="clear" w:color="auto" w:fill="F2F2F2"/>
          </w:tcPr>
          <w:p>
            <w:pPr>
              <w:spacing w:after="0" w:before="0"/>
            </w:pPr>
            <w:r>
              <w:rPr>
                <w:rFonts w:ascii="Arial" w:hAnsi="Arial"/>
                <w:b w:val="0"/>
                <w:sz w:val="19"/>
              </w:rPr>
              <w:t>£1,500</w:t>
            </w:r>
          </w:p>
        </w:tc>
      </w:tr>
      <w:tr>
        <w:tc>
          <w:tcPr>
            <w:tcW w:type="dxa" w:w="5599"/>
          </w:tcPr>
          <w:p>
            <w:pPr>
              <w:spacing w:after="0" w:before="0"/>
            </w:pPr>
            <w:r>
              <w:rPr>
                <w:rFonts w:ascii="Arial" w:hAnsi="Arial"/>
                <w:b w:val="0"/>
                <w:sz w:val="19"/>
              </w:rPr>
              <w:t>Net cost of £1,500 per bed-day released</w:t>
            </w:r>
          </w:p>
        </w:tc>
        <w:tc>
          <w:tcPr>
            <w:tcW w:type="dxa" w:w="3426"/>
          </w:tcPr>
          <w:p>
            <w:pPr>
              <w:spacing w:after="0" w:before="0"/>
            </w:pPr>
            <w:r>
              <w:rPr>
                <w:rFonts w:ascii="Arial" w:hAnsi="Arial"/>
                <w:b w:val="0"/>
                <w:sz w:val="19"/>
              </w:rPr>
              <w:t>£293</w:t>
            </w:r>
          </w:p>
        </w:tc>
      </w:tr>
      <w:tr>
        <w:tc>
          <w:tcPr>
            <w:tcW w:type="dxa" w:w="5599"/>
            <w:shd w:val="clear" w:color="auto" w:fill="F2F2F2"/>
          </w:tcPr>
          <w:p>
            <w:pPr>
              <w:spacing w:after="0" w:before="0"/>
            </w:pPr>
            <w:r>
              <w:rPr>
                <w:rFonts w:ascii="Arial" w:hAnsi="Arial"/>
                <w:b w:val="0"/>
                <w:sz w:val="19"/>
              </w:rPr>
              <w:t>Budget neutral at 30 days</w:t>
            </w:r>
          </w:p>
        </w:tc>
        <w:tc>
          <w:tcPr>
            <w:tcW w:type="dxa" w:w="3426"/>
            <w:shd w:val="clear" w:color="auto" w:fill="F2F2F2"/>
          </w:tcPr>
          <w:p>
            <w:pPr>
              <w:spacing w:after="0" w:before="0"/>
            </w:pPr>
            <w:r>
              <w:rPr>
                <w:rFonts w:ascii="Arial" w:hAnsi="Arial"/>
                <w:b w:val="0"/>
                <w:sz w:val="19"/>
              </w:rPr>
              <w:t>not achievable</w:t>
            </w:r>
          </w:p>
        </w:tc>
      </w:tr>
    </w:tbl>
    <w:p/>
    <w:p>
      <w:r>
        <w:rPr>
          <w:rFonts w:ascii="Arial" w:hAnsi="Arial"/>
          <w:b w:val="0"/>
          <w:sz w:val="22"/>
        </w:rPr>
        <w:t>Prices are calculated at the planned steady-state volume and count 30-day cost avoided. 'Not achievable' means the target cannot be met even at zero instrument cost.</w:t>
      </w:r>
    </w:p>
    <w:p>
      <w:pPr>
        <w:pStyle w:val="Heading2"/>
      </w:pPr>
      <w:r>
        <w:t>4.4 Contract protections sought</w:t>
      </w:r>
    </w:p>
    <w:p>
      <w:pPr>
        <w:pStyle w:val="ListBullet"/>
      </w:pPr>
      <w:r>
        <w:rPr>
          <w:rFonts w:ascii="Arial" w:hAnsi="Arial"/>
          <w:b w:val="0"/>
          <w:sz w:val="22"/>
        </w:rPr>
        <w:t>Instrument price fixed or capped for the contract term.</w:t>
      </w:r>
    </w:p>
    <w:p>
      <w:pPr>
        <w:pStyle w:val="ListBullet"/>
      </w:pPr>
      <w:r>
        <w:rPr>
          <w:rFonts w:ascii="Arial" w:hAnsi="Arial"/>
          <w:b w:val="0"/>
          <w:sz w:val="22"/>
        </w:rPr>
        <w:t>Uptime guarantee with service credits.</w:t>
      </w:r>
    </w:p>
    <w:p>
      <w:pPr>
        <w:pStyle w:val="ListBullet"/>
      </w:pPr>
      <w:r>
        <w:rPr>
          <w:rFonts w:ascii="Arial" w:hAnsi="Arial"/>
          <w:b w:val="0"/>
          <w:sz w:val="22"/>
        </w:rPr>
        <w:t>Training and proctoring included for an agreed number of surgeons and theatre staff.</w:t>
      </w:r>
    </w:p>
    <w:p>
      <w:pPr>
        <w:pStyle w:val="ListBullet"/>
      </w:pPr>
      <w:r>
        <w:rPr>
          <w:rFonts w:ascii="Arial" w:hAnsi="Arial"/>
          <w:b w:val="0"/>
          <w:sz w:val="22"/>
        </w:rPr>
        <w:t>Upgrade, replacement and trade-in terms defined in advance.</w:t>
      </w:r>
    </w:p>
    <w:p>
      <w:pPr>
        <w:pStyle w:val="ListBullet"/>
      </w:pPr>
      <w:r>
        <w:rPr>
          <w:rFonts w:ascii="Arial" w:hAnsi="Arial"/>
          <w:b w:val="0"/>
          <w:sz w:val="22"/>
        </w:rPr>
        <w:t>Contract volumes stated clearly as per robot or per contract.</w:t>
      </w:r>
    </w:p>
    <w:p>
      <w:pPr>
        <w:pStyle w:val="ListBullet"/>
      </w:pPr>
      <w:r>
        <w:rPr>
          <w:rFonts w:ascii="Arial" w:hAnsi="Arial"/>
          <w:b w:val="0"/>
          <w:sz w:val="22"/>
        </w:rPr>
        <w:t>Data access for the 12-month review and NICE evidence generation.</w:t>
      </w:r>
    </w:p>
    <w:p>
      <w:r>
        <w:br w:type="page"/>
      </w:r>
    </w:p>
    <w:p>
      <w:pPr>
        <w:pStyle w:val="Heading1"/>
      </w:pPr>
      <w:r>
        <w:t>5. Financial case</w:t>
      </w:r>
    </w:p>
    <w:p>
      <w:r>
        <w:rPr>
          <w:rFonts w:ascii="Arial" w:hAnsi="Arial"/>
          <w:b w:val="0"/>
          <w:sz w:val="22"/>
        </w:rPr>
        <w:t xml:space="preserve">The table shows the extra income and expenditure cost to </w:t>
      </w:r>
      <w:r>
        <w:rPr>
          <w:rFonts w:ascii="Arial" w:hAnsi="Arial"/>
          <w:b w:val="0"/>
          <w:sz w:val="22"/>
          <w:highlight w:val="yellow"/>
        </w:rPr>
        <w:t>[Trust name]</w:t>
      </w:r>
      <w:r>
        <w:rPr>
          <w:rFonts w:ascii="Arial" w:hAnsi="Arial"/>
          <w:b w:val="0"/>
          <w:sz w:val="22"/>
        </w:rPr>
        <w:t xml:space="preserve"> by year. Depreciation and public dividend capital apply to trust-funded capital only. Nothing is deducted for 30-day cost avoided, which is shown below the table for information.</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626"/>
        <w:gridCol w:w="1067"/>
        <w:gridCol w:w="1067"/>
        <w:gridCol w:w="1067"/>
        <w:gridCol w:w="1067"/>
        <w:gridCol w:w="1067"/>
        <w:gridCol w:w="1065"/>
      </w:tblGrid>
      <w:tr>
        <w:trPr>
          <w:tblHeader w:val="true"/>
        </w:trPr>
        <w:tc>
          <w:tcPr>
            <w:tcW w:type="dxa" w:w="2626"/>
            <w:shd w:val="clear" w:color="auto" w:fill="1F3864"/>
          </w:tcPr>
          <w:p>
            <w:pPr>
              <w:spacing w:after="0" w:before="0"/>
            </w:pPr>
            <w:r/>
            <w:r>
              <w:rPr>
                <w:rFonts w:ascii="Arial" w:hAnsi="Arial"/>
                <w:b/>
                <w:color w:val="FFFFFF"/>
                <w:sz w:val="19"/>
              </w:rPr>
              <w:t>£ (thousands)</w:t>
            </w:r>
          </w:p>
        </w:tc>
        <w:tc>
          <w:tcPr>
            <w:tcW w:type="dxa" w:w="1067"/>
            <w:shd w:val="clear" w:color="auto" w:fill="1F3864"/>
          </w:tcPr>
          <w:p>
            <w:pPr>
              <w:spacing w:after="0" w:before="0"/>
            </w:pPr>
            <w:r/>
            <w:r>
              <w:rPr>
                <w:rFonts w:ascii="Arial" w:hAnsi="Arial"/>
                <w:b/>
                <w:color w:val="FFFFFF"/>
                <w:sz w:val="19"/>
              </w:rPr>
              <w:t>Year 1</w:t>
            </w:r>
          </w:p>
        </w:tc>
        <w:tc>
          <w:tcPr>
            <w:tcW w:type="dxa" w:w="1067"/>
            <w:shd w:val="clear" w:color="auto" w:fill="1F3864"/>
          </w:tcPr>
          <w:p>
            <w:pPr>
              <w:spacing w:after="0" w:before="0"/>
            </w:pPr>
            <w:r/>
            <w:r>
              <w:rPr>
                <w:rFonts w:ascii="Arial" w:hAnsi="Arial"/>
                <w:b/>
                <w:color w:val="FFFFFF"/>
                <w:sz w:val="19"/>
              </w:rPr>
              <w:t>Year 2</w:t>
            </w:r>
          </w:p>
        </w:tc>
        <w:tc>
          <w:tcPr>
            <w:tcW w:type="dxa" w:w="1067"/>
            <w:shd w:val="clear" w:color="auto" w:fill="1F3864"/>
          </w:tcPr>
          <w:p>
            <w:pPr>
              <w:spacing w:after="0" w:before="0"/>
            </w:pPr>
            <w:r/>
            <w:r>
              <w:rPr>
                <w:rFonts w:ascii="Arial" w:hAnsi="Arial"/>
                <w:b/>
                <w:color w:val="FFFFFF"/>
                <w:sz w:val="19"/>
              </w:rPr>
              <w:t>Year 3</w:t>
            </w:r>
          </w:p>
        </w:tc>
        <w:tc>
          <w:tcPr>
            <w:tcW w:type="dxa" w:w="1067"/>
            <w:shd w:val="clear" w:color="auto" w:fill="1F3864"/>
          </w:tcPr>
          <w:p>
            <w:pPr>
              <w:spacing w:after="0" w:before="0"/>
            </w:pPr>
            <w:r/>
            <w:r>
              <w:rPr>
                <w:rFonts w:ascii="Arial" w:hAnsi="Arial"/>
                <w:b/>
                <w:color w:val="FFFFFF"/>
                <w:sz w:val="19"/>
              </w:rPr>
              <w:t>Year 4</w:t>
            </w:r>
          </w:p>
        </w:tc>
        <w:tc>
          <w:tcPr>
            <w:tcW w:type="dxa" w:w="1067"/>
            <w:shd w:val="clear" w:color="auto" w:fill="1F3864"/>
          </w:tcPr>
          <w:p>
            <w:pPr>
              <w:spacing w:after="0" w:before="0"/>
            </w:pPr>
            <w:r/>
            <w:r>
              <w:rPr>
                <w:rFonts w:ascii="Arial" w:hAnsi="Arial"/>
                <w:b/>
                <w:color w:val="FFFFFF"/>
                <w:sz w:val="19"/>
              </w:rPr>
              <w:t>Year 5</w:t>
            </w:r>
          </w:p>
        </w:tc>
        <w:tc>
          <w:tcPr>
            <w:tcW w:type="dxa" w:w="1065"/>
            <w:shd w:val="clear" w:color="auto" w:fill="1F3864"/>
          </w:tcPr>
          <w:p>
            <w:pPr>
              <w:spacing w:after="0" w:before="0"/>
            </w:pPr>
            <w:r/>
            <w:r>
              <w:rPr>
                <w:rFonts w:ascii="Arial" w:hAnsi="Arial"/>
                <w:b/>
                <w:color w:val="FFFFFF"/>
                <w:sz w:val="19"/>
              </w:rPr>
              <w:t>Total</w:t>
            </w:r>
          </w:p>
        </w:tc>
      </w:tr>
      <w:tr>
        <w:tc>
          <w:tcPr>
            <w:tcW w:type="dxa" w:w="2626"/>
          </w:tcPr>
          <w:p>
            <w:pPr>
              <w:spacing w:after="0" w:before="0"/>
            </w:pPr>
            <w:r>
              <w:rPr>
                <w:rFonts w:ascii="Arial" w:hAnsi="Arial"/>
                <w:b w:val="0"/>
                <w:sz w:val="19"/>
              </w:rPr>
              <w:t>Platform</w:t>
            </w:r>
          </w:p>
        </w:tc>
        <w:tc>
          <w:tcPr>
            <w:tcW w:type="dxa" w:w="1067"/>
          </w:tcPr>
          <w:p>
            <w:pPr>
              <w:spacing w:after="0" w:before="0"/>
            </w:pPr>
            <w:r>
              <w:rPr>
                <w:rFonts w:ascii="Arial" w:hAnsi="Arial"/>
                <w:b w:val="0"/>
                <w:sz w:val="19"/>
              </w:rPr>
              <w:t>311</w:t>
            </w:r>
          </w:p>
        </w:tc>
        <w:tc>
          <w:tcPr>
            <w:tcW w:type="dxa" w:w="1067"/>
          </w:tcPr>
          <w:p>
            <w:pPr>
              <w:spacing w:after="0" w:before="0"/>
            </w:pPr>
            <w:r>
              <w:rPr>
                <w:rFonts w:ascii="Arial" w:hAnsi="Arial"/>
                <w:b w:val="0"/>
                <w:sz w:val="19"/>
              </w:rPr>
              <w:t>307</w:t>
            </w:r>
          </w:p>
        </w:tc>
        <w:tc>
          <w:tcPr>
            <w:tcW w:type="dxa" w:w="1067"/>
          </w:tcPr>
          <w:p>
            <w:pPr>
              <w:spacing w:after="0" w:before="0"/>
            </w:pPr>
            <w:r>
              <w:rPr>
                <w:rFonts w:ascii="Arial" w:hAnsi="Arial"/>
                <w:b w:val="0"/>
                <w:sz w:val="19"/>
              </w:rPr>
              <w:t>302</w:t>
            </w:r>
          </w:p>
        </w:tc>
        <w:tc>
          <w:tcPr>
            <w:tcW w:type="dxa" w:w="1067"/>
          </w:tcPr>
          <w:p>
            <w:pPr>
              <w:spacing w:after="0" w:before="0"/>
            </w:pPr>
            <w:r>
              <w:rPr>
                <w:rFonts w:ascii="Arial" w:hAnsi="Arial"/>
                <w:b w:val="0"/>
                <w:sz w:val="19"/>
              </w:rPr>
              <w:t>298</w:t>
            </w:r>
          </w:p>
        </w:tc>
        <w:tc>
          <w:tcPr>
            <w:tcW w:type="dxa" w:w="1067"/>
          </w:tcPr>
          <w:p>
            <w:pPr>
              <w:spacing w:after="0" w:before="0"/>
            </w:pPr>
            <w:r>
              <w:rPr>
                <w:rFonts w:ascii="Arial" w:hAnsi="Arial"/>
                <w:b w:val="0"/>
                <w:sz w:val="19"/>
              </w:rPr>
              <w:t>293</w:t>
            </w:r>
          </w:p>
        </w:tc>
        <w:tc>
          <w:tcPr>
            <w:tcW w:type="dxa" w:w="1065"/>
          </w:tcPr>
          <w:p>
            <w:pPr>
              <w:spacing w:after="0" w:before="0"/>
            </w:pPr>
            <w:r>
              <w:rPr>
                <w:rFonts w:ascii="Arial" w:hAnsi="Arial"/>
                <w:b w:val="0"/>
                <w:sz w:val="19"/>
              </w:rPr>
              <w:t>1,511</w:t>
            </w:r>
          </w:p>
        </w:tc>
      </w:tr>
      <w:tr>
        <w:tc>
          <w:tcPr>
            <w:tcW w:type="dxa" w:w="2626"/>
            <w:shd w:val="clear" w:color="auto" w:fill="F2F2F2"/>
          </w:tcPr>
          <w:p>
            <w:pPr>
              <w:spacing w:after="0" w:before="0"/>
            </w:pPr>
            <w:r>
              <w:rPr>
                <w:rFonts w:ascii="Arial" w:hAnsi="Arial"/>
                <w:b w:val="0"/>
                <w:sz w:val="19"/>
              </w:rPr>
              <w:t>Instruments</w:t>
            </w:r>
          </w:p>
        </w:tc>
        <w:tc>
          <w:tcPr>
            <w:tcW w:type="dxa" w:w="1067"/>
            <w:shd w:val="clear" w:color="auto" w:fill="F2F2F2"/>
          </w:tcPr>
          <w:p>
            <w:pPr>
              <w:spacing w:after="0" w:before="0"/>
            </w:pPr>
            <w:r>
              <w:rPr>
                <w:rFonts w:ascii="Arial" w:hAnsi="Arial"/>
                <w:b w:val="0"/>
                <w:sz w:val="19"/>
              </w:rPr>
              <w:t>366</w:t>
            </w:r>
          </w:p>
        </w:tc>
        <w:tc>
          <w:tcPr>
            <w:tcW w:type="dxa" w:w="1067"/>
            <w:shd w:val="clear" w:color="auto" w:fill="F2F2F2"/>
          </w:tcPr>
          <w:p>
            <w:pPr>
              <w:spacing w:after="0" w:before="0"/>
            </w:pPr>
            <w:r>
              <w:rPr>
                <w:rFonts w:ascii="Arial" w:hAnsi="Arial"/>
                <w:b w:val="0"/>
                <w:sz w:val="19"/>
              </w:rPr>
              <w:t>470</w:t>
            </w:r>
          </w:p>
        </w:tc>
        <w:tc>
          <w:tcPr>
            <w:tcW w:type="dxa" w:w="1067"/>
            <w:shd w:val="clear" w:color="auto" w:fill="F2F2F2"/>
          </w:tcPr>
          <w:p>
            <w:pPr>
              <w:spacing w:after="0" w:before="0"/>
            </w:pPr>
            <w:r>
              <w:rPr>
                <w:rFonts w:ascii="Arial" w:hAnsi="Arial"/>
                <w:b w:val="0"/>
                <w:sz w:val="19"/>
              </w:rPr>
              <w:t>523</w:t>
            </w:r>
          </w:p>
        </w:tc>
        <w:tc>
          <w:tcPr>
            <w:tcW w:type="dxa" w:w="1067"/>
            <w:shd w:val="clear" w:color="auto" w:fill="F2F2F2"/>
          </w:tcPr>
          <w:p>
            <w:pPr>
              <w:spacing w:after="0" w:before="0"/>
            </w:pPr>
            <w:r>
              <w:rPr>
                <w:rFonts w:ascii="Arial" w:hAnsi="Arial"/>
                <w:b w:val="0"/>
                <w:sz w:val="19"/>
              </w:rPr>
              <w:t>523</w:t>
            </w:r>
          </w:p>
        </w:tc>
        <w:tc>
          <w:tcPr>
            <w:tcW w:type="dxa" w:w="1067"/>
            <w:shd w:val="clear" w:color="auto" w:fill="F2F2F2"/>
          </w:tcPr>
          <w:p>
            <w:pPr>
              <w:spacing w:after="0" w:before="0"/>
            </w:pPr>
            <w:r>
              <w:rPr>
                <w:rFonts w:ascii="Arial" w:hAnsi="Arial"/>
                <w:b w:val="0"/>
                <w:sz w:val="19"/>
              </w:rPr>
              <w:t>523</w:t>
            </w:r>
          </w:p>
        </w:tc>
        <w:tc>
          <w:tcPr>
            <w:tcW w:type="dxa" w:w="1065"/>
            <w:shd w:val="clear" w:color="auto" w:fill="F2F2F2"/>
          </w:tcPr>
          <w:p>
            <w:pPr>
              <w:spacing w:after="0" w:before="0"/>
            </w:pPr>
            <w:r>
              <w:rPr>
                <w:rFonts w:ascii="Arial" w:hAnsi="Arial"/>
                <w:b w:val="0"/>
                <w:sz w:val="19"/>
              </w:rPr>
              <w:t>2,405</w:t>
            </w:r>
          </w:p>
        </w:tc>
      </w:tr>
      <w:tr>
        <w:tc>
          <w:tcPr>
            <w:tcW w:type="dxa" w:w="2626"/>
          </w:tcPr>
          <w:p>
            <w:pPr>
              <w:spacing w:after="0" w:before="0"/>
            </w:pPr>
            <w:r>
              <w:rPr>
                <w:rFonts w:ascii="Arial" w:hAnsi="Arial"/>
                <w:b w:val="0"/>
                <w:sz w:val="19"/>
              </w:rPr>
              <w:t>Sterile services</w:t>
            </w:r>
          </w:p>
        </w:tc>
        <w:tc>
          <w:tcPr>
            <w:tcW w:type="dxa" w:w="1067"/>
          </w:tcPr>
          <w:p>
            <w:pPr>
              <w:spacing w:after="0" w:before="0"/>
            </w:pPr>
            <w:r>
              <w:rPr>
                <w:rFonts w:ascii="Arial" w:hAnsi="Arial"/>
                <w:b w:val="0"/>
                <w:sz w:val="19"/>
              </w:rPr>
              <w:t>22</w:t>
            </w:r>
          </w:p>
        </w:tc>
        <w:tc>
          <w:tcPr>
            <w:tcW w:type="dxa" w:w="1067"/>
          </w:tcPr>
          <w:p>
            <w:pPr>
              <w:spacing w:after="0" w:before="0"/>
            </w:pPr>
            <w:r>
              <w:rPr>
                <w:rFonts w:ascii="Arial" w:hAnsi="Arial"/>
                <w:b w:val="0"/>
                <w:sz w:val="19"/>
              </w:rPr>
              <w:t>28</w:t>
            </w:r>
          </w:p>
        </w:tc>
        <w:tc>
          <w:tcPr>
            <w:tcW w:type="dxa" w:w="1067"/>
          </w:tcPr>
          <w:p>
            <w:pPr>
              <w:spacing w:after="0" w:before="0"/>
            </w:pPr>
            <w:r>
              <w:rPr>
                <w:rFonts w:ascii="Arial" w:hAnsi="Arial"/>
                <w:b w:val="0"/>
                <w:sz w:val="19"/>
              </w:rPr>
              <w:t>31</w:t>
            </w:r>
          </w:p>
        </w:tc>
        <w:tc>
          <w:tcPr>
            <w:tcW w:type="dxa" w:w="1067"/>
          </w:tcPr>
          <w:p>
            <w:pPr>
              <w:spacing w:after="0" w:before="0"/>
            </w:pPr>
            <w:r>
              <w:rPr>
                <w:rFonts w:ascii="Arial" w:hAnsi="Arial"/>
                <w:b w:val="0"/>
                <w:sz w:val="19"/>
              </w:rPr>
              <w:t>31</w:t>
            </w:r>
          </w:p>
        </w:tc>
        <w:tc>
          <w:tcPr>
            <w:tcW w:type="dxa" w:w="1067"/>
          </w:tcPr>
          <w:p>
            <w:pPr>
              <w:spacing w:after="0" w:before="0"/>
            </w:pPr>
            <w:r>
              <w:rPr>
                <w:rFonts w:ascii="Arial" w:hAnsi="Arial"/>
                <w:b w:val="0"/>
                <w:sz w:val="19"/>
              </w:rPr>
              <w:t>31</w:t>
            </w:r>
          </w:p>
        </w:tc>
        <w:tc>
          <w:tcPr>
            <w:tcW w:type="dxa" w:w="1065"/>
          </w:tcPr>
          <w:p>
            <w:pPr>
              <w:spacing w:after="0" w:before="0"/>
            </w:pPr>
            <w:r>
              <w:rPr>
                <w:rFonts w:ascii="Arial" w:hAnsi="Arial"/>
                <w:b w:val="0"/>
                <w:sz w:val="19"/>
              </w:rPr>
              <w:t>141</w:t>
            </w:r>
          </w:p>
        </w:tc>
      </w:tr>
      <w:tr>
        <w:tc>
          <w:tcPr>
            <w:tcW w:type="dxa" w:w="2626"/>
            <w:shd w:val="clear" w:color="auto" w:fill="F2F2F2"/>
          </w:tcPr>
          <w:p>
            <w:pPr>
              <w:spacing w:after="0" w:before="0"/>
            </w:pPr>
            <w:r>
              <w:rPr>
                <w:rFonts w:ascii="Arial" w:hAnsi="Arial"/>
                <w:b w:val="0"/>
                <w:sz w:val="19"/>
              </w:rPr>
              <w:t>Surgical first assistant</w:t>
            </w:r>
          </w:p>
        </w:tc>
        <w:tc>
          <w:tcPr>
            <w:tcW w:type="dxa" w:w="1067"/>
            <w:shd w:val="clear" w:color="auto" w:fill="F2F2F2"/>
          </w:tcPr>
          <w:p>
            <w:pPr>
              <w:spacing w:after="0" w:before="0"/>
            </w:pPr>
            <w:r>
              <w:rPr>
                <w:rFonts w:ascii="Arial" w:hAnsi="Arial"/>
                <w:b w:val="0"/>
                <w:sz w:val="19"/>
              </w:rPr>
              <w:t>60</w:t>
            </w:r>
          </w:p>
        </w:tc>
        <w:tc>
          <w:tcPr>
            <w:tcW w:type="dxa" w:w="1067"/>
            <w:shd w:val="clear" w:color="auto" w:fill="F2F2F2"/>
          </w:tcPr>
          <w:p>
            <w:pPr>
              <w:spacing w:after="0" w:before="0"/>
            </w:pPr>
            <w:r>
              <w:rPr>
                <w:rFonts w:ascii="Arial" w:hAnsi="Arial"/>
                <w:b w:val="0"/>
                <w:sz w:val="19"/>
              </w:rPr>
              <w:t>60</w:t>
            </w:r>
          </w:p>
        </w:tc>
        <w:tc>
          <w:tcPr>
            <w:tcW w:type="dxa" w:w="1067"/>
            <w:shd w:val="clear" w:color="auto" w:fill="F2F2F2"/>
          </w:tcPr>
          <w:p>
            <w:pPr>
              <w:spacing w:after="0" w:before="0"/>
            </w:pPr>
            <w:r>
              <w:rPr>
                <w:rFonts w:ascii="Arial" w:hAnsi="Arial"/>
                <w:b w:val="0"/>
                <w:sz w:val="19"/>
              </w:rPr>
              <w:t>60</w:t>
            </w:r>
          </w:p>
        </w:tc>
        <w:tc>
          <w:tcPr>
            <w:tcW w:type="dxa" w:w="1067"/>
            <w:shd w:val="clear" w:color="auto" w:fill="F2F2F2"/>
          </w:tcPr>
          <w:p>
            <w:pPr>
              <w:spacing w:after="0" w:before="0"/>
            </w:pPr>
            <w:r>
              <w:rPr>
                <w:rFonts w:ascii="Arial" w:hAnsi="Arial"/>
                <w:b w:val="0"/>
                <w:sz w:val="19"/>
              </w:rPr>
              <w:t>60</w:t>
            </w:r>
          </w:p>
        </w:tc>
        <w:tc>
          <w:tcPr>
            <w:tcW w:type="dxa" w:w="1067"/>
            <w:shd w:val="clear" w:color="auto" w:fill="F2F2F2"/>
          </w:tcPr>
          <w:p>
            <w:pPr>
              <w:spacing w:after="0" w:before="0"/>
            </w:pPr>
            <w:r>
              <w:rPr>
                <w:rFonts w:ascii="Arial" w:hAnsi="Arial"/>
                <w:b w:val="0"/>
                <w:sz w:val="19"/>
              </w:rPr>
              <w:t>60</w:t>
            </w:r>
          </w:p>
        </w:tc>
        <w:tc>
          <w:tcPr>
            <w:tcW w:type="dxa" w:w="1065"/>
            <w:shd w:val="clear" w:color="auto" w:fill="F2F2F2"/>
          </w:tcPr>
          <w:p>
            <w:pPr>
              <w:spacing w:after="0" w:before="0"/>
            </w:pPr>
            <w:r>
              <w:rPr>
                <w:rFonts w:ascii="Arial" w:hAnsi="Arial"/>
                <w:b w:val="0"/>
                <w:sz w:val="19"/>
              </w:rPr>
              <w:t>300</w:t>
            </w:r>
          </w:p>
        </w:tc>
      </w:tr>
      <w:tr>
        <w:tc>
          <w:tcPr>
            <w:tcW w:type="dxa" w:w="2626"/>
          </w:tcPr>
          <w:p>
            <w:pPr>
              <w:spacing w:after="0" w:before="0"/>
            </w:pPr>
            <w:r>
              <w:rPr>
                <w:rFonts w:ascii="Arial" w:hAnsi="Arial"/>
                <w:b w:val="0"/>
                <w:sz w:val="19"/>
              </w:rPr>
              <w:t>Extra theatre time</w:t>
            </w:r>
          </w:p>
        </w:tc>
        <w:tc>
          <w:tcPr>
            <w:tcW w:type="dxa" w:w="1067"/>
          </w:tcPr>
          <w:p>
            <w:pPr>
              <w:spacing w:after="0" w:before="0"/>
            </w:pPr>
            <w:r>
              <w:rPr>
                <w:rFonts w:ascii="Arial" w:hAnsi="Arial"/>
                <w:b w:val="0"/>
                <w:sz w:val="19"/>
              </w:rPr>
              <w:t>76</w:t>
            </w:r>
          </w:p>
        </w:tc>
        <w:tc>
          <w:tcPr>
            <w:tcW w:type="dxa" w:w="1067"/>
          </w:tcPr>
          <w:p>
            <w:pPr>
              <w:spacing w:after="0" w:before="0"/>
            </w:pPr>
            <w:r>
              <w:rPr>
                <w:rFonts w:ascii="Arial" w:hAnsi="Arial"/>
                <w:b w:val="0"/>
                <w:sz w:val="19"/>
              </w:rPr>
              <w:t>98</w:t>
            </w:r>
          </w:p>
        </w:tc>
        <w:tc>
          <w:tcPr>
            <w:tcW w:type="dxa" w:w="1067"/>
          </w:tcPr>
          <w:p>
            <w:pPr>
              <w:spacing w:after="0" w:before="0"/>
            </w:pPr>
            <w:r>
              <w:rPr>
                <w:rFonts w:ascii="Arial" w:hAnsi="Arial"/>
                <w:b w:val="0"/>
                <w:sz w:val="19"/>
              </w:rPr>
              <w:t>109</w:t>
            </w:r>
          </w:p>
        </w:tc>
        <w:tc>
          <w:tcPr>
            <w:tcW w:type="dxa" w:w="1067"/>
          </w:tcPr>
          <w:p>
            <w:pPr>
              <w:spacing w:after="0" w:before="0"/>
            </w:pPr>
            <w:r>
              <w:rPr>
                <w:rFonts w:ascii="Arial" w:hAnsi="Arial"/>
                <w:b w:val="0"/>
                <w:sz w:val="19"/>
              </w:rPr>
              <w:t>109</w:t>
            </w:r>
          </w:p>
        </w:tc>
        <w:tc>
          <w:tcPr>
            <w:tcW w:type="dxa" w:w="1067"/>
          </w:tcPr>
          <w:p>
            <w:pPr>
              <w:spacing w:after="0" w:before="0"/>
            </w:pPr>
            <w:r>
              <w:rPr>
                <w:rFonts w:ascii="Arial" w:hAnsi="Arial"/>
                <w:b w:val="0"/>
                <w:sz w:val="19"/>
              </w:rPr>
              <w:t>109</w:t>
            </w:r>
          </w:p>
        </w:tc>
        <w:tc>
          <w:tcPr>
            <w:tcW w:type="dxa" w:w="1065"/>
          </w:tcPr>
          <w:p>
            <w:pPr>
              <w:spacing w:after="0" w:before="0"/>
            </w:pPr>
            <w:r>
              <w:rPr>
                <w:rFonts w:ascii="Arial" w:hAnsi="Arial"/>
                <w:b w:val="0"/>
                <w:sz w:val="19"/>
              </w:rPr>
              <w:t>502</w:t>
            </w:r>
          </w:p>
        </w:tc>
      </w:tr>
      <w:tr>
        <w:tc>
          <w:tcPr>
            <w:tcW w:type="dxa" w:w="2626"/>
            <w:shd w:val="clear" w:color="auto" w:fill="F2F2F2"/>
          </w:tcPr>
          <w:p>
            <w:pPr>
              <w:spacing w:after="0" w:before="0"/>
            </w:pPr>
            <w:r>
              <w:rPr>
                <w:rFonts w:ascii="Arial" w:hAnsi="Arial"/>
                <w:b w:val="0"/>
                <w:sz w:val="19"/>
              </w:rPr>
              <w:t>Implementation and training</w:t>
            </w:r>
          </w:p>
        </w:tc>
        <w:tc>
          <w:tcPr>
            <w:tcW w:type="dxa" w:w="1067"/>
            <w:shd w:val="clear" w:color="auto" w:fill="F2F2F2"/>
          </w:tcPr>
          <w:p>
            <w:pPr>
              <w:spacing w:after="0" w:before="0"/>
            </w:pPr>
            <w:r>
              <w:rPr>
                <w:rFonts w:ascii="Arial" w:hAnsi="Arial"/>
                <w:b w:val="0"/>
                <w:sz w:val="19"/>
              </w:rPr>
              <w:t>75</w:t>
            </w:r>
          </w:p>
        </w:tc>
        <w:tc>
          <w:tcPr>
            <w:tcW w:type="dxa" w:w="1067"/>
            <w:shd w:val="clear" w:color="auto" w:fill="F2F2F2"/>
          </w:tcPr>
          <w:p>
            <w:pPr>
              <w:spacing w:after="0" w:before="0"/>
            </w:pPr>
            <w:r>
              <w:rPr>
                <w:rFonts w:ascii="Arial" w:hAnsi="Arial"/>
                <w:b w:val="0"/>
                <w:sz w:val="19"/>
              </w:rPr>
              <w:t>0</w:t>
            </w:r>
          </w:p>
        </w:tc>
        <w:tc>
          <w:tcPr>
            <w:tcW w:type="dxa" w:w="1067"/>
            <w:shd w:val="clear" w:color="auto" w:fill="F2F2F2"/>
          </w:tcPr>
          <w:p>
            <w:pPr>
              <w:spacing w:after="0" w:before="0"/>
            </w:pPr>
            <w:r>
              <w:rPr>
                <w:rFonts w:ascii="Arial" w:hAnsi="Arial"/>
                <w:b w:val="0"/>
                <w:sz w:val="19"/>
              </w:rPr>
              <w:t>0</w:t>
            </w:r>
          </w:p>
        </w:tc>
        <w:tc>
          <w:tcPr>
            <w:tcW w:type="dxa" w:w="1067"/>
            <w:shd w:val="clear" w:color="auto" w:fill="F2F2F2"/>
          </w:tcPr>
          <w:p>
            <w:pPr>
              <w:spacing w:after="0" w:before="0"/>
            </w:pPr>
            <w:r>
              <w:rPr>
                <w:rFonts w:ascii="Arial" w:hAnsi="Arial"/>
                <w:b w:val="0"/>
                <w:sz w:val="19"/>
              </w:rPr>
              <w:t>0</w:t>
            </w:r>
          </w:p>
        </w:tc>
        <w:tc>
          <w:tcPr>
            <w:tcW w:type="dxa" w:w="1067"/>
            <w:shd w:val="clear" w:color="auto" w:fill="F2F2F2"/>
          </w:tcPr>
          <w:p>
            <w:pPr>
              <w:spacing w:after="0" w:before="0"/>
            </w:pPr>
            <w:r>
              <w:rPr>
                <w:rFonts w:ascii="Arial" w:hAnsi="Arial"/>
                <w:b w:val="0"/>
                <w:sz w:val="19"/>
              </w:rPr>
              <w:t>0</w:t>
            </w:r>
          </w:p>
        </w:tc>
        <w:tc>
          <w:tcPr>
            <w:tcW w:type="dxa" w:w="1065"/>
            <w:shd w:val="clear" w:color="auto" w:fill="F2F2F2"/>
          </w:tcPr>
          <w:p>
            <w:pPr>
              <w:spacing w:after="0" w:before="0"/>
            </w:pPr>
            <w:r>
              <w:rPr>
                <w:rFonts w:ascii="Arial" w:hAnsi="Arial"/>
                <w:b w:val="0"/>
                <w:sz w:val="19"/>
              </w:rPr>
              <w:t>75</w:t>
            </w:r>
          </w:p>
        </w:tc>
      </w:tr>
      <w:tr>
        <w:tc>
          <w:tcPr>
            <w:tcW w:type="dxa" w:w="2626"/>
          </w:tcPr>
          <w:p>
            <w:pPr>
              <w:spacing w:after="0" w:before="0"/>
            </w:pPr>
            <w:r>
              <w:rPr>
                <w:rFonts w:ascii="Arial" w:hAnsi="Arial"/>
                <w:b w:val="0"/>
                <w:sz w:val="19"/>
              </w:rPr>
              <w:t>Theatre works</w:t>
            </w:r>
          </w:p>
        </w:tc>
        <w:tc>
          <w:tcPr>
            <w:tcW w:type="dxa" w:w="1067"/>
          </w:tcPr>
          <w:p>
            <w:pPr>
              <w:spacing w:after="0" w:before="0"/>
            </w:pPr>
            <w:r>
              <w:rPr>
                <w:rFonts w:ascii="Arial" w:hAnsi="Arial"/>
                <w:b w:val="0"/>
                <w:sz w:val="19"/>
              </w:rPr>
              <w:t>50</w:t>
            </w:r>
          </w:p>
        </w:tc>
        <w:tc>
          <w:tcPr>
            <w:tcW w:type="dxa" w:w="1067"/>
          </w:tcPr>
          <w:p>
            <w:pPr>
              <w:spacing w:after="0" w:before="0"/>
            </w:pPr>
            <w:r>
              <w:rPr>
                <w:rFonts w:ascii="Arial" w:hAnsi="Arial"/>
                <w:b w:val="0"/>
                <w:sz w:val="19"/>
              </w:rPr>
              <w:t>0</w:t>
            </w:r>
          </w:p>
        </w:tc>
        <w:tc>
          <w:tcPr>
            <w:tcW w:type="dxa" w:w="1067"/>
          </w:tcPr>
          <w:p>
            <w:pPr>
              <w:spacing w:after="0" w:before="0"/>
            </w:pPr>
            <w:r>
              <w:rPr>
                <w:rFonts w:ascii="Arial" w:hAnsi="Arial"/>
                <w:b w:val="0"/>
                <w:sz w:val="19"/>
              </w:rPr>
              <w:t>0</w:t>
            </w:r>
          </w:p>
        </w:tc>
        <w:tc>
          <w:tcPr>
            <w:tcW w:type="dxa" w:w="1067"/>
          </w:tcPr>
          <w:p>
            <w:pPr>
              <w:spacing w:after="0" w:before="0"/>
            </w:pPr>
            <w:r>
              <w:rPr>
                <w:rFonts w:ascii="Arial" w:hAnsi="Arial"/>
                <w:b w:val="0"/>
                <w:sz w:val="19"/>
              </w:rPr>
              <w:t>0</w:t>
            </w:r>
          </w:p>
        </w:tc>
        <w:tc>
          <w:tcPr>
            <w:tcW w:type="dxa" w:w="1067"/>
          </w:tcPr>
          <w:p>
            <w:pPr>
              <w:spacing w:after="0" w:before="0"/>
            </w:pPr>
            <w:r>
              <w:rPr>
                <w:rFonts w:ascii="Arial" w:hAnsi="Arial"/>
                <w:b w:val="0"/>
                <w:sz w:val="19"/>
              </w:rPr>
              <w:t>0</w:t>
            </w:r>
          </w:p>
        </w:tc>
        <w:tc>
          <w:tcPr>
            <w:tcW w:type="dxa" w:w="1065"/>
          </w:tcPr>
          <w:p>
            <w:pPr>
              <w:spacing w:after="0" w:before="0"/>
            </w:pPr>
            <w:r>
              <w:rPr>
                <w:rFonts w:ascii="Arial" w:hAnsi="Arial"/>
                <w:b w:val="0"/>
                <w:sz w:val="19"/>
              </w:rPr>
              <w:t>50</w:t>
            </w:r>
          </w:p>
        </w:tc>
      </w:tr>
      <w:tr>
        <w:tc>
          <w:tcPr>
            <w:tcW w:type="dxa" w:w="2626"/>
            <w:shd w:val="clear" w:color="auto" w:fill="F2F2F2"/>
          </w:tcPr>
          <w:p>
            <w:pPr>
              <w:spacing w:after="0" w:before="0"/>
            </w:pPr>
            <w:r>
              <w:rPr>
                <w:rFonts w:ascii="Arial" w:hAnsi="Arial"/>
                <w:b/>
                <w:sz w:val="19"/>
              </w:rPr>
              <w:t>Extra cost to the trust</w:t>
            </w:r>
          </w:p>
        </w:tc>
        <w:tc>
          <w:tcPr>
            <w:tcW w:type="dxa" w:w="1067"/>
            <w:shd w:val="clear" w:color="auto" w:fill="F2F2F2"/>
          </w:tcPr>
          <w:p>
            <w:pPr>
              <w:spacing w:after="0" w:before="0"/>
            </w:pPr>
            <w:r>
              <w:rPr>
                <w:rFonts w:ascii="Arial" w:hAnsi="Arial"/>
                <w:b/>
                <w:sz w:val="19"/>
              </w:rPr>
              <w:t>960</w:t>
            </w:r>
          </w:p>
        </w:tc>
        <w:tc>
          <w:tcPr>
            <w:tcW w:type="dxa" w:w="1067"/>
            <w:shd w:val="clear" w:color="auto" w:fill="F2F2F2"/>
          </w:tcPr>
          <w:p>
            <w:pPr>
              <w:spacing w:after="0" w:before="0"/>
            </w:pPr>
            <w:r>
              <w:rPr>
                <w:rFonts w:ascii="Arial" w:hAnsi="Arial"/>
                <w:b/>
                <w:sz w:val="19"/>
              </w:rPr>
              <w:t>963</w:t>
            </w:r>
          </w:p>
        </w:tc>
        <w:tc>
          <w:tcPr>
            <w:tcW w:type="dxa" w:w="1067"/>
            <w:shd w:val="clear" w:color="auto" w:fill="F2F2F2"/>
          </w:tcPr>
          <w:p>
            <w:pPr>
              <w:spacing w:after="0" w:before="0"/>
            </w:pPr>
            <w:r>
              <w:rPr>
                <w:rFonts w:ascii="Arial" w:hAnsi="Arial"/>
                <w:b/>
                <w:sz w:val="19"/>
              </w:rPr>
              <w:t>1,025</w:t>
            </w:r>
          </w:p>
        </w:tc>
        <w:tc>
          <w:tcPr>
            <w:tcW w:type="dxa" w:w="1067"/>
            <w:shd w:val="clear" w:color="auto" w:fill="F2F2F2"/>
          </w:tcPr>
          <w:p>
            <w:pPr>
              <w:spacing w:after="0" w:before="0"/>
            </w:pPr>
            <w:r>
              <w:rPr>
                <w:rFonts w:ascii="Arial" w:hAnsi="Arial"/>
                <w:b/>
                <w:sz w:val="19"/>
              </w:rPr>
              <w:t>1,020</w:t>
            </w:r>
          </w:p>
        </w:tc>
        <w:tc>
          <w:tcPr>
            <w:tcW w:type="dxa" w:w="1067"/>
            <w:shd w:val="clear" w:color="auto" w:fill="F2F2F2"/>
          </w:tcPr>
          <w:p>
            <w:pPr>
              <w:spacing w:after="0" w:before="0"/>
            </w:pPr>
            <w:r>
              <w:rPr>
                <w:rFonts w:ascii="Arial" w:hAnsi="Arial"/>
                <w:b/>
                <w:sz w:val="19"/>
              </w:rPr>
              <w:t>1,016</w:t>
            </w:r>
          </w:p>
        </w:tc>
        <w:tc>
          <w:tcPr>
            <w:tcW w:type="dxa" w:w="1065"/>
            <w:shd w:val="clear" w:color="auto" w:fill="F2F2F2"/>
          </w:tcPr>
          <w:p>
            <w:pPr>
              <w:spacing w:after="0" w:before="0"/>
            </w:pPr>
            <w:r>
              <w:rPr>
                <w:rFonts w:ascii="Arial" w:hAnsi="Arial"/>
                <w:b/>
                <w:sz w:val="19"/>
              </w:rPr>
              <w:t>4,984</w:t>
            </w:r>
          </w:p>
        </w:tc>
      </w:tr>
    </w:tbl>
    <w:p/>
    <w:p>
      <w:r>
        <w:rPr>
          <w:rFonts w:ascii="Arial" w:hAnsi="Arial"/>
          <w:b w:val="0"/>
          <w:sz w:val="22"/>
        </w:rPr>
        <w:t>Tariff: the income line counts only the difference over what the trust would earn for the same patients without the robot, entered per procedure, and assumes those patients would otherwise be treated at this trust. It appears in the trust's cash case only. It is a transfer within the NHS, so it is excluded from the economic view (net present cost) and from the cost per outcome.</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626"/>
        <w:gridCol w:w="1067"/>
        <w:gridCol w:w="1067"/>
        <w:gridCol w:w="1067"/>
        <w:gridCol w:w="1067"/>
        <w:gridCol w:w="1067"/>
        <w:gridCol w:w="1065"/>
      </w:tblGrid>
      <w:tr>
        <w:trPr>
          <w:tblHeader w:val="true"/>
        </w:trPr>
        <w:tc>
          <w:tcPr>
            <w:tcW w:type="dxa" w:w="2626"/>
            <w:shd w:val="clear" w:color="auto" w:fill="1F3864"/>
          </w:tcPr>
          <w:p>
            <w:pPr>
              <w:spacing w:after="0" w:before="0"/>
            </w:pPr>
            <w:r/>
            <w:r>
              <w:rPr>
                <w:rFonts w:ascii="Arial" w:hAnsi="Arial"/>
                <w:b/>
                <w:color w:val="FFFFFF"/>
                <w:sz w:val="17"/>
              </w:rPr>
              <w:t>For information (not cash)</w:t>
            </w:r>
          </w:p>
        </w:tc>
        <w:tc>
          <w:tcPr>
            <w:tcW w:type="dxa" w:w="1067"/>
            <w:shd w:val="clear" w:color="auto" w:fill="1F3864"/>
          </w:tcPr>
          <w:p>
            <w:pPr>
              <w:spacing w:after="0" w:before="0"/>
            </w:pPr>
            <w:r/>
            <w:r>
              <w:rPr>
                <w:rFonts w:ascii="Arial" w:hAnsi="Arial"/>
                <w:b/>
                <w:color w:val="FFFFFF"/>
                <w:sz w:val="17"/>
              </w:rPr>
              <w:t>Year 1</w:t>
            </w:r>
          </w:p>
        </w:tc>
        <w:tc>
          <w:tcPr>
            <w:tcW w:type="dxa" w:w="1067"/>
            <w:shd w:val="clear" w:color="auto" w:fill="1F3864"/>
          </w:tcPr>
          <w:p>
            <w:pPr>
              <w:spacing w:after="0" w:before="0"/>
            </w:pPr>
            <w:r/>
            <w:r>
              <w:rPr>
                <w:rFonts w:ascii="Arial" w:hAnsi="Arial"/>
                <w:b/>
                <w:color w:val="FFFFFF"/>
                <w:sz w:val="17"/>
              </w:rPr>
              <w:t>Year 2</w:t>
            </w:r>
          </w:p>
        </w:tc>
        <w:tc>
          <w:tcPr>
            <w:tcW w:type="dxa" w:w="1067"/>
            <w:shd w:val="clear" w:color="auto" w:fill="1F3864"/>
          </w:tcPr>
          <w:p>
            <w:pPr>
              <w:spacing w:after="0" w:before="0"/>
            </w:pPr>
            <w:r/>
            <w:r>
              <w:rPr>
                <w:rFonts w:ascii="Arial" w:hAnsi="Arial"/>
                <w:b/>
                <w:color w:val="FFFFFF"/>
                <w:sz w:val="17"/>
              </w:rPr>
              <w:t>Year 3</w:t>
            </w:r>
          </w:p>
        </w:tc>
        <w:tc>
          <w:tcPr>
            <w:tcW w:type="dxa" w:w="1067"/>
            <w:shd w:val="clear" w:color="auto" w:fill="1F3864"/>
          </w:tcPr>
          <w:p>
            <w:pPr>
              <w:spacing w:after="0" w:before="0"/>
            </w:pPr>
            <w:r/>
            <w:r>
              <w:rPr>
                <w:rFonts w:ascii="Arial" w:hAnsi="Arial"/>
                <w:b/>
                <w:color w:val="FFFFFF"/>
                <w:sz w:val="17"/>
              </w:rPr>
              <w:t>Year 4</w:t>
            </w:r>
          </w:p>
        </w:tc>
        <w:tc>
          <w:tcPr>
            <w:tcW w:type="dxa" w:w="1067"/>
            <w:shd w:val="clear" w:color="auto" w:fill="1F3864"/>
          </w:tcPr>
          <w:p>
            <w:pPr>
              <w:spacing w:after="0" w:before="0"/>
            </w:pPr>
            <w:r/>
            <w:r>
              <w:rPr>
                <w:rFonts w:ascii="Arial" w:hAnsi="Arial"/>
                <w:b/>
                <w:color w:val="FFFFFF"/>
                <w:sz w:val="17"/>
              </w:rPr>
              <w:t>Year 5</w:t>
            </w:r>
          </w:p>
        </w:tc>
        <w:tc>
          <w:tcPr>
            <w:tcW w:type="dxa" w:w="1065"/>
            <w:shd w:val="clear" w:color="auto" w:fill="1F3864"/>
          </w:tcPr>
          <w:p>
            <w:pPr>
              <w:spacing w:after="0" w:before="0"/>
            </w:pPr>
            <w:r/>
            <w:r>
              <w:rPr>
                <w:rFonts w:ascii="Arial" w:hAnsi="Arial"/>
                <w:b/>
                <w:color w:val="FFFFFF"/>
                <w:sz w:val="17"/>
              </w:rPr>
              <w:t>Total</w:t>
            </w:r>
          </w:p>
        </w:tc>
      </w:tr>
      <w:tr>
        <w:tc>
          <w:tcPr>
            <w:tcW w:type="dxa" w:w="2626"/>
          </w:tcPr>
          <w:p>
            <w:pPr>
              <w:spacing w:after="0" w:before="0"/>
            </w:pPr>
            <w:r>
              <w:rPr>
                <w:rFonts w:ascii="Arial" w:hAnsi="Arial"/>
                <w:b w:val="0"/>
                <w:sz w:val="17"/>
              </w:rPr>
              <w:t>30-day cost avoided</w:t>
            </w:r>
          </w:p>
        </w:tc>
        <w:tc>
          <w:tcPr>
            <w:tcW w:type="dxa" w:w="1067"/>
          </w:tcPr>
          <w:p>
            <w:pPr>
              <w:spacing w:after="0" w:before="0"/>
            </w:pPr>
            <w:r>
              <w:rPr>
                <w:rFonts w:ascii="Arial" w:hAnsi="Arial"/>
                <w:b w:val="0"/>
                <w:sz w:val="17"/>
              </w:rPr>
              <w:t>86</w:t>
            </w:r>
          </w:p>
        </w:tc>
        <w:tc>
          <w:tcPr>
            <w:tcW w:type="dxa" w:w="1067"/>
          </w:tcPr>
          <w:p>
            <w:pPr>
              <w:spacing w:after="0" w:before="0"/>
            </w:pPr>
            <w:r>
              <w:rPr>
                <w:rFonts w:ascii="Arial" w:hAnsi="Arial"/>
                <w:b w:val="0"/>
                <w:sz w:val="17"/>
              </w:rPr>
              <w:t>133</w:t>
            </w:r>
          </w:p>
        </w:tc>
        <w:tc>
          <w:tcPr>
            <w:tcW w:type="dxa" w:w="1067"/>
          </w:tcPr>
          <w:p>
            <w:pPr>
              <w:spacing w:after="0" w:before="0"/>
            </w:pPr>
            <w:r>
              <w:rPr>
                <w:rFonts w:ascii="Arial" w:hAnsi="Arial"/>
                <w:b w:val="0"/>
                <w:sz w:val="17"/>
              </w:rPr>
              <w:t>164</w:t>
            </w:r>
          </w:p>
        </w:tc>
        <w:tc>
          <w:tcPr>
            <w:tcW w:type="dxa" w:w="1067"/>
          </w:tcPr>
          <w:p>
            <w:pPr>
              <w:spacing w:after="0" w:before="0"/>
            </w:pPr>
            <w:r>
              <w:rPr>
                <w:rFonts w:ascii="Arial" w:hAnsi="Arial"/>
                <w:b w:val="0"/>
                <w:sz w:val="17"/>
              </w:rPr>
              <w:t>164</w:t>
            </w:r>
          </w:p>
        </w:tc>
        <w:tc>
          <w:tcPr>
            <w:tcW w:type="dxa" w:w="1067"/>
          </w:tcPr>
          <w:p>
            <w:pPr>
              <w:spacing w:after="0" w:before="0"/>
            </w:pPr>
            <w:r>
              <w:rPr>
                <w:rFonts w:ascii="Arial" w:hAnsi="Arial"/>
                <w:b w:val="0"/>
                <w:sz w:val="17"/>
              </w:rPr>
              <w:t>164</w:t>
            </w:r>
          </w:p>
        </w:tc>
        <w:tc>
          <w:tcPr>
            <w:tcW w:type="dxa" w:w="1065"/>
          </w:tcPr>
          <w:p>
            <w:pPr>
              <w:spacing w:after="0" w:before="0"/>
            </w:pPr>
            <w:r>
              <w:rPr>
                <w:rFonts w:ascii="Arial" w:hAnsi="Arial"/>
                <w:b w:val="0"/>
                <w:sz w:val="17"/>
              </w:rPr>
              <w:t>709</w:t>
            </w:r>
          </w:p>
        </w:tc>
      </w:tr>
      <w:tr>
        <w:tc>
          <w:tcPr>
            <w:tcW w:type="dxa" w:w="2626"/>
            <w:shd w:val="clear" w:color="auto" w:fill="F2F2F2"/>
          </w:tcPr>
          <w:p>
            <w:pPr>
              <w:spacing w:after="0" w:before="0"/>
            </w:pPr>
            <w:r>
              <w:rPr>
                <w:rFonts w:ascii="Arial" w:hAnsi="Arial"/>
                <w:b w:val="0"/>
                <w:sz w:val="17"/>
              </w:rPr>
              <w:t>Extra cost less cost avoided</w:t>
            </w:r>
          </w:p>
        </w:tc>
        <w:tc>
          <w:tcPr>
            <w:tcW w:type="dxa" w:w="1067"/>
            <w:shd w:val="clear" w:color="auto" w:fill="F2F2F2"/>
          </w:tcPr>
          <w:p>
            <w:pPr>
              <w:spacing w:after="0" w:before="0"/>
            </w:pPr>
            <w:r>
              <w:rPr>
                <w:rFonts w:ascii="Arial" w:hAnsi="Arial"/>
                <w:b w:val="0"/>
                <w:sz w:val="17"/>
              </w:rPr>
              <w:t>874</w:t>
            </w:r>
          </w:p>
        </w:tc>
        <w:tc>
          <w:tcPr>
            <w:tcW w:type="dxa" w:w="1067"/>
            <w:shd w:val="clear" w:color="auto" w:fill="F2F2F2"/>
          </w:tcPr>
          <w:p>
            <w:pPr>
              <w:spacing w:after="0" w:before="0"/>
            </w:pPr>
            <w:r>
              <w:rPr>
                <w:rFonts w:ascii="Arial" w:hAnsi="Arial"/>
                <w:b w:val="0"/>
                <w:sz w:val="17"/>
              </w:rPr>
              <w:t>831</w:t>
            </w:r>
          </w:p>
        </w:tc>
        <w:tc>
          <w:tcPr>
            <w:tcW w:type="dxa" w:w="1067"/>
            <w:shd w:val="clear" w:color="auto" w:fill="F2F2F2"/>
          </w:tcPr>
          <w:p>
            <w:pPr>
              <w:spacing w:after="0" w:before="0"/>
            </w:pPr>
            <w:r>
              <w:rPr>
                <w:rFonts w:ascii="Arial" w:hAnsi="Arial"/>
                <w:b w:val="0"/>
                <w:sz w:val="17"/>
              </w:rPr>
              <w:t>861</w:t>
            </w:r>
          </w:p>
        </w:tc>
        <w:tc>
          <w:tcPr>
            <w:tcW w:type="dxa" w:w="1067"/>
            <w:shd w:val="clear" w:color="auto" w:fill="F2F2F2"/>
          </w:tcPr>
          <w:p>
            <w:pPr>
              <w:spacing w:after="0" w:before="0"/>
            </w:pPr>
            <w:r>
              <w:rPr>
                <w:rFonts w:ascii="Arial" w:hAnsi="Arial"/>
                <w:b w:val="0"/>
                <w:sz w:val="17"/>
              </w:rPr>
              <w:t>857</w:t>
            </w:r>
          </w:p>
        </w:tc>
        <w:tc>
          <w:tcPr>
            <w:tcW w:type="dxa" w:w="1067"/>
            <w:shd w:val="clear" w:color="auto" w:fill="F2F2F2"/>
          </w:tcPr>
          <w:p>
            <w:pPr>
              <w:spacing w:after="0" w:before="0"/>
            </w:pPr>
            <w:r>
              <w:rPr>
                <w:rFonts w:ascii="Arial" w:hAnsi="Arial"/>
                <w:b w:val="0"/>
                <w:sz w:val="17"/>
              </w:rPr>
              <w:t>852</w:t>
            </w:r>
          </w:p>
        </w:tc>
        <w:tc>
          <w:tcPr>
            <w:tcW w:type="dxa" w:w="1065"/>
            <w:shd w:val="clear" w:color="auto" w:fill="F2F2F2"/>
          </w:tcPr>
          <w:p>
            <w:pPr>
              <w:spacing w:after="0" w:before="0"/>
            </w:pPr>
            <w:r>
              <w:rPr>
                <w:rFonts w:ascii="Arial" w:hAnsi="Arial"/>
                <w:b w:val="0"/>
                <w:sz w:val="17"/>
              </w:rPr>
              <w:t>4,275</w:t>
            </w:r>
          </w:p>
        </w:tc>
      </w:tr>
    </w:tbl>
    <w:p/>
    <w:p>
      <w:pPr>
        <w:jc w:val="center"/>
      </w:pPr>
      <w:r>
        <w:drawing>
          <wp:inline xmlns:a="http://schemas.openxmlformats.org/drawingml/2006/main" xmlns:pic="http://schemas.openxmlformats.org/drawingml/2006/picture">
            <wp:extent cx="5760000" cy="3416872"/>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000" cy="3416872"/>
                    </a:xfrm>
                    <a:prstGeom prst="rect"/>
                  </pic:spPr>
                </pic:pic>
              </a:graphicData>
            </a:graphic>
          </wp:inline>
        </w:drawing>
      </w:r>
    </w:p>
    <w:p>
      <w:r>
        <w:rPr>
          <w:rFonts w:ascii="Arial" w:hAnsi="Arial"/>
          <w:b w:val="0"/>
          <w:color w:val="595959"/>
          <w:sz w:val="18"/>
        </w:rPr>
        <w:t>Figure 3. Extra cost to the trust by year, with 30-day cost avoided shown for comparison.</w:t>
      </w:r>
    </w:p>
    <w:p>
      <w:r>
        <w:rPr>
          <w:rFonts w:ascii="Arial" w:hAnsi="Arial"/>
          <w:b w:val="0"/>
          <w:sz w:val="22"/>
        </w:rPr>
        <w:t xml:space="preserve">Capital: £1,920,000 in total, of which £1,000,000 is assumed from central funds. </w:t>
      </w:r>
      <w:r>
        <w:rPr>
          <w:rFonts w:ascii="Arial" w:hAnsi="Arial"/>
          <w:b w:val="0"/>
          <w:sz w:val="22"/>
          <w:highlight w:val="yellow"/>
        </w:rPr>
        <w:t>[Confirm the capital source, the revenue budget holder, VAT treatment and the capital replacement plan.]</w:t>
      </w:r>
    </w:p>
    <w:p>
      <w:r>
        <w:br w:type="page"/>
      </w:r>
    </w:p>
    <w:p>
      <w:pPr>
        <w:pStyle w:val="Heading1"/>
      </w:pPr>
      <w:r>
        <w:t>6. Management case</w:t>
      </w:r>
    </w:p>
    <w:p>
      <w:pPr>
        <w:pStyle w:val="Heading2"/>
      </w:pPr>
      <w:r>
        <w:t>6.1 Two-week theatre template</w:t>
      </w:r>
    </w:p>
    <w:p>
      <w:r>
        <w:rPr>
          <w:rFonts w:ascii="Arial" w:hAnsi="Arial"/>
          <w:b w:val="0"/>
          <w:sz w:val="22"/>
        </w:rPr>
        <w:t>The template (pre-filled from demand, standard day) covers 14 days, Monday to Sunday twice, with AM, PM and evening sessions on each robot. Standard hours are weekday AM and PM, with Friday PM kept for maintenance; evening and weekend sessions count only when used. 18 of 18 available sessions per fortnight are booked (100%). The fortnight is extrapolated to 45 operating weeks a year, and 100% of templated cases are assumed to go ahead.</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100"/>
        <w:gridCol w:w="1100"/>
        <w:gridCol w:w="1300"/>
        <w:gridCol w:w="1200"/>
        <w:gridCol w:w="1200"/>
        <w:gridCol w:w="1126"/>
      </w:tblGrid>
      <w:tr>
        <w:trPr>
          <w:tblHeader w:val="true"/>
        </w:trPr>
        <w:tc>
          <w:tcPr>
            <w:tcW w:type="dxa" w:w="3100"/>
            <w:shd w:val="clear" w:color="auto" w:fill="1F3864"/>
          </w:tcPr>
          <w:p>
            <w:pPr>
              <w:spacing w:after="0" w:before="0"/>
            </w:pPr>
            <w:r/>
            <w:r>
              <w:rPr>
                <w:rFonts w:ascii="Arial" w:hAnsi="Arial"/>
                <w:b/>
                <w:color w:val="FFFFFF"/>
                <w:sz w:val="17"/>
              </w:rPr>
              <w:t>Procedure</w:t>
            </w:r>
          </w:p>
        </w:tc>
        <w:tc>
          <w:tcPr>
            <w:tcW w:type="dxa" w:w="1100"/>
            <w:shd w:val="clear" w:color="auto" w:fill="1F3864"/>
          </w:tcPr>
          <w:p>
            <w:pPr>
              <w:spacing w:after="0" w:before="0"/>
            </w:pPr>
            <w:r/>
            <w:r>
              <w:rPr>
                <w:rFonts w:ascii="Arial" w:hAnsi="Arial"/>
                <w:b/>
                <w:color w:val="FFFFFF"/>
                <w:sz w:val="17"/>
              </w:rPr>
              <w:t>Sessions per fortnight</w:t>
            </w:r>
          </w:p>
        </w:tc>
        <w:tc>
          <w:tcPr>
            <w:tcW w:type="dxa" w:w="1300"/>
            <w:shd w:val="clear" w:color="auto" w:fill="1F3864"/>
          </w:tcPr>
          <w:p>
            <w:pPr>
              <w:spacing w:after="0" w:before="0"/>
            </w:pPr>
            <w:r/>
            <w:r>
              <w:rPr>
                <w:rFonts w:ascii="Arial" w:hAnsi="Arial"/>
                <w:b/>
                <w:color w:val="FFFFFF"/>
                <w:sz w:val="17"/>
              </w:rPr>
              <w:t>Cases on template (year)</w:t>
            </w:r>
          </w:p>
        </w:tc>
        <w:tc>
          <w:tcPr>
            <w:tcW w:type="dxa" w:w="1200"/>
            <w:shd w:val="clear" w:color="auto" w:fill="1F3864"/>
          </w:tcPr>
          <w:p>
            <w:pPr>
              <w:spacing w:after="0" w:before="0"/>
            </w:pPr>
            <w:r/>
            <w:r>
              <w:rPr>
                <w:rFonts w:ascii="Arial" w:hAnsi="Arial"/>
                <w:b/>
                <w:color w:val="FFFFFF"/>
                <w:sz w:val="17"/>
              </w:rPr>
              <w:t>Demand (year)</w:t>
            </w:r>
          </w:p>
        </w:tc>
        <w:tc>
          <w:tcPr>
            <w:tcW w:type="dxa" w:w="1200"/>
            <w:shd w:val="clear" w:color="auto" w:fill="1F3864"/>
          </w:tcPr>
          <w:p>
            <w:pPr>
              <w:spacing w:after="0" w:before="0"/>
            </w:pPr>
            <w:r/>
            <w:r>
              <w:rPr>
                <w:rFonts w:ascii="Arial" w:hAnsi="Arial"/>
                <w:b/>
                <w:color w:val="FFFFFF"/>
                <w:sz w:val="17"/>
              </w:rPr>
              <w:t>Cases delivered</w:t>
            </w:r>
          </w:p>
        </w:tc>
        <w:tc>
          <w:tcPr>
            <w:tcW w:type="dxa" w:w="1126"/>
            <w:shd w:val="clear" w:color="auto" w:fill="1F3864"/>
          </w:tcPr>
          <w:p>
            <w:pPr>
              <w:spacing w:after="0" w:before="0"/>
            </w:pPr>
            <w:r/>
            <w:r>
              <w:rPr>
                <w:rFonts w:ascii="Arial" w:hAnsi="Arial"/>
                <w:b/>
                <w:color w:val="FFFFFF"/>
                <w:sz w:val="17"/>
              </w:rPr>
              <w:t>Unmet demand</w:t>
            </w:r>
          </w:p>
        </w:tc>
      </w:tr>
      <w:tr>
        <w:tc>
          <w:tcPr>
            <w:tcW w:type="dxa" w:w="3100"/>
          </w:tcPr>
          <w:p>
            <w:pPr>
              <w:spacing w:after="0" w:before="0"/>
            </w:pPr>
            <w:r>
              <w:rPr>
                <w:rFonts w:ascii="Arial" w:hAnsi="Arial"/>
                <w:b w:val="0"/>
                <w:sz w:val="17"/>
              </w:rPr>
              <w:t>Colorectal major resection (colon and rectum)</w:t>
            </w:r>
          </w:p>
        </w:tc>
        <w:tc>
          <w:tcPr>
            <w:tcW w:type="dxa" w:w="1100"/>
          </w:tcPr>
          <w:p>
            <w:pPr>
              <w:spacing w:after="0" w:before="0"/>
            </w:pPr>
            <w:r>
              <w:rPr>
                <w:rFonts w:ascii="Arial" w:hAnsi="Arial"/>
                <w:b w:val="0"/>
                <w:sz w:val="17"/>
              </w:rPr>
              <w:t>6.0</w:t>
            </w:r>
          </w:p>
        </w:tc>
        <w:tc>
          <w:tcPr>
            <w:tcW w:type="dxa" w:w="1300"/>
          </w:tcPr>
          <w:p>
            <w:pPr>
              <w:spacing w:after="0" w:before="0"/>
            </w:pPr>
            <w:r>
              <w:rPr>
                <w:rFonts w:ascii="Arial" w:hAnsi="Arial"/>
                <w:b w:val="0"/>
                <w:sz w:val="17"/>
              </w:rPr>
              <w:t>135</w:t>
            </w:r>
          </w:p>
        </w:tc>
        <w:tc>
          <w:tcPr>
            <w:tcW w:type="dxa" w:w="1200"/>
          </w:tcPr>
          <w:p>
            <w:pPr>
              <w:spacing w:after="0" w:before="0"/>
            </w:pPr>
            <w:r>
              <w:rPr>
                <w:rFonts w:ascii="Arial" w:hAnsi="Arial"/>
                <w:b w:val="0"/>
                <w:sz w:val="17"/>
              </w:rPr>
              <w:t>120</w:t>
            </w:r>
          </w:p>
        </w:tc>
        <w:tc>
          <w:tcPr>
            <w:tcW w:type="dxa" w:w="1200"/>
          </w:tcPr>
          <w:p>
            <w:pPr>
              <w:spacing w:after="0" w:before="0"/>
            </w:pPr>
            <w:r>
              <w:rPr>
                <w:rFonts w:ascii="Arial" w:hAnsi="Arial"/>
                <w:b w:val="0"/>
                <w:sz w:val="17"/>
              </w:rPr>
              <w:t>120</w:t>
            </w:r>
          </w:p>
        </w:tc>
        <w:tc>
          <w:tcPr>
            <w:tcW w:type="dxa" w:w="1126"/>
          </w:tcPr>
          <w:p>
            <w:pPr>
              <w:spacing w:after="0" w:before="0"/>
            </w:pPr>
            <w:r>
              <w:rPr>
                <w:rFonts w:ascii="Arial" w:hAnsi="Arial"/>
                <w:b w:val="0"/>
                <w:sz w:val="17"/>
              </w:rPr>
              <w:t>0</w:t>
            </w:r>
          </w:p>
        </w:tc>
      </w:tr>
      <w:tr>
        <w:tc>
          <w:tcPr>
            <w:tcW w:type="dxa" w:w="3100"/>
            <w:shd w:val="clear" w:color="auto" w:fill="F2F2F2"/>
          </w:tcPr>
          <w:p>
            <w:pPr>
              <w:spacing w:after="0" w:before="0"/>
            </w:pPr>
            <w:r>
              <w:rPr>
                <w:rFonts w:ascii="Arial" w:hAnsi="Arial"/>
                <w:b w:val="0"/>
                <w:sz w:val="17"/>
              </w:rPr>
              <w:t>Nephrectomy and partial nephrectomy</w:t>
            </w:r>
          </w:p>
        </w:tc>
        <w:tc>
          <w:tcPr>
            <w:tcW w:type="dxa" w:w="1100"/>
            <w:shd w:val="clear" w:color="auto" w:fill="F2F2F2"/>
          </w:tcPr>
          <w:p>
            <w:pPr>
              <w:spacing w:after="0" w:before="0"/>
            </w:pPr>
            <w:r>
              <w:rPr>
                <w:rFonts w:ascii="Arial" w:hAnsi="Arial"/>
                <w:b w:val="0"/>
                <w:sz w:val="17"/>
              </w:rPr>
              <w:t>2.0</w:t>
            </w:r>
          </w:p>
        </w:tc>
        <w:tc>
          <w:tcPr>
            <w:tcW w:type="dxa" w:w="1300"/>
            <w:shd w:val="clear" w:color="auto" w:fill="F2F2F2"/>
          </w:tcPr>
          <w:p>
            <w:pPr>
              <w:spacing w:after="0" w:before="0"/>
            </w:pPr>
            <w:r>
              <w:rPr>
                <w:rFonts w:ascii="Arial" w:hAnsi="Arial"/>
                <w:b w:val="0"/>
                <w:sz w:val="17"/>
              </w:rPr>
              <w:t>68</w:t>
            </w:r>
          </w:p>
        </w:tc>
        <w:tc>
          <w:tcPr>
            <w:tcW w:type="dxa" w:w="1200"/>
            <w:shd w:val="clear" w:color="auto" w:fill="F2F2F2"/>
          </w:tcPr>
          <w:p>
            <w:pPr>
              <w:spacing w:after="0" w:before="0"/>
            </w:pPr>
            <w:r>
              <w:rPr>
                <w:rFonts w:ascii="Arial" w:hAnsi="Arial"/>
                <w:b w:val="0"/>
                <w:sz w:val="17"/>
              </w:rPr>
              <w:t>50</w:t>
            </w:r>
          </w:p>
        </w:tc>
        <w:tc>
          <w:tcPr>
            <w:tcW w:type="dxa" w:w="1200"/>
            <w:shd w:val="clear" w:color="auto" w:fill="F2F2F2"/>
          </w:tcPr>
          <w:p>
            <w:pPr>
              <w:spacing w:after="0" w:before="0"/>
            </w:pPr>
            <w:r>
              <w:rPr>
                <w:rFonts w:ascii="Arial" w:hAnsi="Arial"/>
                <w:b w:val="0"/>
                <w:sz w:val="17"/>
              </w:rPr>
              <w:t>50</w:t>
            </w:r>
          </w:p>
        </w:tc>
        <w:tc>
          <w:tcPr>
            <w:tcW w:type="dxa" w:w="1126"/>
            <w:shd w:val="clear" w:color="auto" w:fill="F2F2F2"/>
          </w:tcPr>
          <w:p>
            <w:pPr>
              <w:spacing w:after="0" w:before="0"/>
            </w:pPr>
            <w:r>
              <w:rPr>
                <w:rFonts w:ascii="Arial" w:hAnsi="Arial"/>
                <w:b w:val="0"/>
                <w:sz w:val="17"/>
              </w:rPr>
              <w:t>0</w:t>
            </w:r>
          </w:p>
        </w:tc>
      </w:tr>
      <w:tr>
        <w:tc>
          <w:tcPr>
            <w:tcW w:type="dxa" w:w="3100"/>
          </w:tcPr>
          <w:p>
            <w:pPr>
              <w:spacing w:after="0" w:before="0"/>
            </w:pPr>
            <w:r>
              <w:rPr>
                <w:rFonts w:ascii="Arial" w:hAnsi="Arial"/>
                <w:b w:val="0"/>
                <w:sz w:val="17"/>
              </w:rPr>
              <w:t>Hysterectomy (benign and malignant)</w:t>
            </w:r>
          </w:p>
        </w:tc>
        <w:tc>
          <w:tcPr>
            <w:tcW w:type="dxa" w:w="1100"/>
          </w:tcPr>
          <w:p>
            <w:pPr>
              <w:spacing w:after="0" w:before="0"/>
            </w:pPr>
            <w:r>
              <w:rPr>
                <w:rFonts w:ascii="Arial" w:hAnsi="Arial"/>
                <w:b w:val="0"/>
                <w:sz w:val="17"/>
              </w:rPr>
              <w:t>2.7</w:t>
            </w:r>
          </w:p>
        </w:tc>
        <w:tc>
          <w:tcPr>
            <w:tcW w:type="dxa" w:w="1300"/>
          </w:tcPr>
          <w:p>
            <w:pPr>
              <w:spacing w:after="0" w:before="0"/>
            </w:pPr>
            <w:r>
              <w:rPr>
                <w:rFonts w:ascii="Arial" w:hAnsi="Arial"/>
                <w:b w:val="0"/>
                <w:sz w:val="17"/>
              </w:rPr>
              <w:t>108</w:t>
            </w:r>
          </w:p>
        </w:tc>
        <w:tc>
          <w:tcPr>
            <w:tcW w:type="dxa" w:w="1200"/>
          </w:tcPr>
          <w:p>
            <w:pPr>
              <w:spacing w:after="0" w:before="0"/>
            </w:pPr>
            <w:r>
              <w:rPr>
                <w:rFonts w:ascii="Arial" w:hAnsi="Arial"/>
                <w:b w:val="0"/>
                <w:sz w:val="17"/>
              </w:rPr>
              <w:t>100</w:t>
            </w:r>
          </w:p>
        </w:tc>
        <w:tc>
          <w:tcPr>
            <w:tcW w:type="dxa" w:w="1200"/>
          </w:tcPr>
          <w:p>
            <w:pPr>
              <w:spacing w:after="0" w:before="0"/>
            </w:pPr>
            <w:r>
              <w:rPr>
                <w:rFonts w:ascii="Arial" w:hAnsi="Arial"/>
                <w:b w:val="0"/>
                <w:sz w:val="17"/>
              </w:rPr>
              <w:t>100</w:t>
            </w:r>
          </w:p>
        </w:tc>
        <w:tc>
          <w:tcPr>
            <w:tcW w:type="dxa" w:w="1126"/>
          </w:tcPr>
          <w:p>
            <w:pPr>
              <w:spacing w:after="0" w:before="0"/>
            </w:pPr>
            <w:r>
              <w:rPr>
                <w:rFonts w:ascii="Arial" w:hAnsi="Arial"/>
                <w:b w:val="0"/>
                <w:sz w:val="17"/>
              </w:rPr>
              <w:t>0</w:t>
            </w:r>
          </w:p>
        </w:tc>
      </w:tr>
      <w:tr>
        <w:tc>
          <w:tcPr>
            <w:tcW w:type="dxa" w:w="3100"/>
            <w:shd w:val="clear" w:color="auto" w:fill="F2F2F2"/>
          </w:tcPr>
          <w:p>
            <w:pPr>
              <w:spacing w:after="0" w:before="0"/>
            </w:pPr>
            <w:r>
              <w:rPr>
                <w:rFonts w:ascii="Arial" w:hAnsi="Arial"/>
                <w:b w:val="0"/>
                <w:sz w:val="17"/>
              </w:rPr>
              <w:t>Myomectomy</w:t>
            </w:r>
          </w:p>
        </w:tc>
        <w:tc>
          <w:tcPr>
            <w:tcW w:type="dxa" w:w="1100"/>
            <w:shd w:val="clear" w:color="auto" w:fill="F2F2F2"/>
          </w:tcPr>
          <w:p>
            <w:pPr>
              <w:spacing w:after="0" w:before="0"/>
            </w:pPr>
            <w:r>
              <w:rPr>
                <w:rFonts w:ascii="Arial" w:hAnsi="Arial"/>
                <w:b w:val="0"/>
                <w:sz w:val="17"/>
              </w:rPr>
              <w:t>0.7</w:t>
            </w:r>
          </w:p>
        </w:tc>
        <w:tc>
          <w:tcPr>
            <w:tcW w:type="dxa" w:w="1300"/>
            <w:shd w:val="clear" w:color="auto" w:fill="F2F2F2"/>
          </w:tcPr>
          <w:p>
            <w:pPr>
              <w:spacing w:after="0" w:before="0"/>
            </w:pPr>
            <w:r>
              <w:rPr>
                <w:rFonts w:ascii="Arial" w:hAnsi="Arial"/>
                <w:b w:val="0"/>
                <w:sz w:val="17"/>
              </w:rPr>
              <w:t>27</w:t>
            </w:r>
          </w:p>
        </w:tc>
        <w:tc>
          <w:tcPr>
            <w:tcW w:type="dxa" w:w="1200"/>
            <w:shd w:val="clear" w:color="auto" w:fill="F2F2F2"/>
          </w:tcPr>
          <w:p>
            <w:pPr>
              <w:spacing w:after="0" w:before="0"/>
            </w:pPr>
            <w:r>
              <w:rPr>
                <w:rFonts w:ascii="Arial" w:hAnsi="Arial"/>
                <w:b w:val="0"/>
                <w:sz w:val="17"/>
              </w:rPr>
              <w:t>25</w:t>
            </w:r>
          </w:p>
        </w:tc>
        <w:tc>
          <w:tcPr>
            <w:tcW w:type="dxa" w:w="1200"/>
            <w:shd w:val="clear" w:color="auto" w:fill="F2F2F2"/>
          </w:tcPr>
          <w:p>
            <w:pPr>
              <w:spacing w:after="0" w:before="0"/>
            </w:pPr>
            <w:r>
              <w:rPr>
                <w:rFonts w:ascii="Arial" w:hAnsi="Arial"/>
                <w:b w:val="0"/>
                <w:sz w:val="17"/>
              </w:rPr>
              <w:t>25</w:t>
            </w:r>
          </w:p>
        </w:tc>
        <w:tc>
          <w:tcPr>
            <w:tcW w:type="dxa" w:w="1126"/>
            <w:shd w:val="clear" w:color="auto" w:fill="F2F2F2"/>
          </w:tcPr>
          <w:p>
            <w:pPr>
              <w:spacing w:after="0" w:before="0"/>
            </w:pPr>
            <w:r>
              <w:rPr>
                <w:rFonts w:ascii="Arial" w:hAnsi="Arial"/>
                <w:b w:val="0"/>
                <w:sz w:val="17"/>
              </w:rPr>
              <w:t>0</w:t>
            </w:r>
          </w:p>
        </w:tc>
      </w:tr>
      <w:tr>
        <w:tc>
          <w:tcPr>
            <w:tcW w:type="dxa" w:w="3100"/>
          </w:tcPr>
          <w:p>
            <w:pPr>
              <w:spacing w:after="0" w:before="0"/>
            </w:pPr>
            <w:r>
              <w:rPr>
                <w:rFonts w:ascii="Arial" w:hAnsi="Arial"/>
                <w:b w:val="0"/>
                <w:sz w:val="17"/>
              </w:rPr>
              <w:t>Endometriosis excision</w:t>
            </w:r>
          </w:p>
        </w:tc>
        <w:tc>
          <w:tcPr>
            <w:tcW w:type="dxa" w:w="1100"/>
          </w:tcPr>
          <w:p>
            <w:pPr>
              <w:spacing w:after="0" w:before="0"/>
            </w:pPr>
            <w:r>
              <w:rPr>
                <w:rFonts w:ascii="Arial" w:hAnsi="Arial"/>
                <w:b w:val="0"/>
                <w:sz w:val="17"/>
              </w:rPr>
              <w:t>3.4</w:t>
            </w:r>
          </w:p>
        </w:tc>
        <w:tc>
          <w:tcPr>
            <w:tcW w:type="dxa" w:w="1300"/>
          </w:tcPr>
          <w:p>
            <w:pPr>
              <w:spacing w:after="0" w:before="0"/>
            </w:pPr>
            <w:r>
              <w:rPr>
                <w:rFonts w:ascii="Arial" w:hAnsi="Arial"/>
                <w:b w:val="0"/>
                <w:sz w:val="17"/>
              </w:rPr>
              <w:t>135</w:t>
            </w:r>
          </w:p>
        </w:tc>
        <w:tc>
          <w:tcPr>
            <w:tcW w:type="dxa" w:w="1200"/>
          </w:tcPr>
          <w:p>
            <w:pPr>
              <w:spacing w:after="0" w:before="0"/>
            </w:pPr>
            <w:r>
              <w:rPr>
                <w:rFonts w:ascii="Arial" w:hAnsi="Arial"/>
                <w:b w:val="0"/>
                <w:sz w:val="17"/>
              </w:rPr>
              <w:t>40</w:t>
            </w:r>
          </w:p>
        </w:tc>
        <w:tc>
          <w:tcPr>
            <w:tcW w:type="dxa" w:w="1200"/>
          </w:tcPr>
          <w:p>
            <w:pPr>
              <w:spacing w:after="0" w:before="0"/>
            </w:pPr>
            <w:r>
              <w:rPr>
                <w:rFonts w:ascii="Arial" w:hAnsi="Arial"/>
                <w:b w:val="0"/>
                <w:sz w:val="17"/>
              </w:rPr>
              <w:t>40</w:t>
            </w:r>
          </w:p>
        </w:tc>
        <w:tc>
          <w:tcPr>
            <w:tcW w:type="dxa" w:w="1126"/>
          </w:tcPr>
          <w:p>
            <w:pPr>
              <w:spacing w:after="0" w:before="0"/>
            </w:pPr>
            <w:r>
              <w:rPr>
                <w:rFonts w:ascii="Arial" w:hAnsi="Arial"/>
                <w:b w:val="0"/>
                <w:sz w:val="17"/>
              </w:rPr>
              <w:t>0</w:t>
            </w:r>
          </w:p>
        </w:tc>
      </w:tr>
      <w:tr>
        <w:tc>
          <w:tcPr>
            <w:tcW w:type="dxa" w:w="3100"/>
            <w:shd w:val="clear" w:color="auto" w:fill="F2F2F2"/>
          </w:tcPr>
          <w:p>
            <w:pPr>
              <w:spacing w:after="0" w:before="0"/>
            </w:pPr>
            <w:r>
              <w:rPr>
                <w:rFonts w:ascii="Arial" w:hAnsi="Arial"/>
                <w:b w:val="0"/>
                <w:sz w:val="17"/>
              </w:rPr>
              <w:t>Adnexal surgery</w:t>
            </w:r>
          </w:p>
        </w:tc>
        <w:tc>
          <w:tcPr>
            <w:tcW w:type="dxa" w:w="1100"/>
            <w:shd w:val="clear" w:color="auto" w:fill="F2F2F2"/>
          </w:tcPr>
          <w:p>
            <w:pPr>
              <w:spacing w:after="0" w:before="0"/>
            </w:pPr>
            <w:r>
              <w:rPr>
                <w:rFonts w:ascii="Arial" w:hAnsi="Arial"/>
                <w:b w:val="0"/>
                <w:sz w:val="17"/>
              </w:rPr>
              <w:t>1.1</w:t>
            </w:r>
          </w:p>
        </w:tc>
        <w:tc>
          <w:tcPr>
            <w:tcW w:type="dxa" w:w="1300"/>
            <w:shd w:val="clear" w:color="auto" w:fill="F2F2F2"/>
          </w:tcPr>
          <w:p>
            <w:pPr>
              <w:spacing w:after="0" w:before="0"/>
            </w:pPr>
            <w:r>
              <w:rPr>
                <w:rFonts w:ascii="Arial" w:hAnsi="Arial"/>
                <w:b w:val="0"/>
                <w:sz w:val="17"/>
              </w:rPr>
              <w:t>45</w:t>
            </w:r>
          </w:p>
        </w:tc>
        <w:tc>
          <w:tcPr>
            <w:tcW w:type="dxa" w:w="1200"/>
            <w:shd w:val="clear" w:color="auto" w:fill="F2F2F2"/>
          </w:tcPr>
          <w:p>
            <w:pPr>
              <w:spacing w:after="0" w:before="0"/>
            </w:pPr>
            <w:r>
              <w:rPr>
                <w:rFonts w:ascii="Arial" w:hAnsi="Arial"/>
                <w:b w:val="0"/>
                <w:sz w:val="17"/>
              </w:rPr>
              <w:t>30</w:t>
            </w:r>
          </w:p>
        </w:tc>
        <w:tc>
          <w:tcPr>
            <w:tcW w:type="dxa" w:w="1200"/>
            <w:shd w:val="clear" w:color="auto" w:fill="F2F2F2"/>
          </w:tcPr>
          <w:p>
            <w:pPr>
              <w:spacing w:after="0" w:before="0"/>
            </w:pPr>
            <w:r>
              <w:rPr>
                <w:rFonts w:ascii="Arial" w:hAnsi="Arial"/>
                <w:b w:val="0"/>
                <w:sz w:val="17"/>
              </w:rPr>
              <w:t>30</w:t>
            </w:r>
          </w:p>
        </w:tc>
        <w:tc>
          <w:tcPr>
            <w:tcW w:type="dxa" w:w="1126"/>
            <w:shd w:val="clear" w:color="auto" w:fill="F2F2F2"/>
          </w:tcPr>
          <w:p>
            <w:pPr>
              <w:spacing w:after="0" w:before="0"/>
            </w:pPr>
            <w:r>
              <w:rPr>
                <w:rFonts w:ascii="Arial" w:hAnsi="Arial"/>
                <w:b w:val="0"/>
                <w:sz w:val="17"/>
              </w:rPr>
              <w:t>0</w:t>
            </w:r>
          </w:p>
        </w:tc>
      </w:tr>
      <w:tr>
        <w:tc>
          <w:tcPr>
            <w:tcW w:type="dxa" w:w="3100"/>
          </w:tcPr>
          <w:p>
            <w:pPr>
              <w:spacing w:after="0" w:before="0"/>
            </w:pPr>
            <w:r>
              <w:rPr>
                <w:rFonts w:ascii="Arial" w:hAnsi="Arial"/>
                <w:b w:val="0"/>
                <w:sz w:val="17"/>
              </w:rPr>
              <w:t>Abdominal wall reconstruction</w:t>
            </w:r>
          </w:p>
        </w:tc>
        <w:tc>
          <w:tcPr>
            <w:tcW w:type="dxa" w:w="1100"/>
          </w:tcPr>
          <w:p>
            <w:pPr>
              <w:spacing w:after="0" w:before="0"/>
            </w:pPr>
            <w:r>
              <w:rPr>
                <w:rFonts w:ascii="Arial" w:hAnsi="Arial"/>
                <w:b w:val="0"/>
                <w:sz w:val="17"/>
              </w:rPr>
              <w:t>2.0</w:t>
            </w:r>
          </w:p>
        </w:tc>
        <w:tc>
          <w:tcPr>
            <w:tcW w:type="dxa" w:w="1300"/>
          </w:tcPr>
          <w:p>
            <w:pPr>
              <w:spacing w:after="0" w:before="0"/>
            </w:pPr>
            <w:r>
              <w:rPr>
                <w:rFonts w:ascii="Arial" w:hAnsi="Arial"/>
                <w:b w:val="0"/>
                <w:sz w:val="17"/>
              </w:rPr>
              <w:t>45</w:t>
            </w:r>
          </w:p>
        </w:tc>
        <w:tc>
          <w:tcPr>
            <w:tcW w:type="dxa" w:w="1200"/>
          </w:tcPr>
          <w:p>
            <w:pPr>
              <w:spacing w:after="0" w:before="0"/>
            </w:pPr>
            <w:r>
              <w:rPr>
                <w:rFonts w:ascii="Arial" w:hAnsi="Arial"/>
                <w:b w:val="0"/>
                <w:sz w:val="17"/>
              </w:rPr>
              <w:t>80</w:t>
            </w:r>
          </w:p>
        </w:tc>
        <w:tc>
          <w:tcPr>
            <w:tcW w:type="dxa" w:w="1200"/>
          </w:tcPr>
          <w:p>
            <w:pPr>
              <w:spacing w:after="0" w:before="0"/>
            </w:pPr>
            <w:r>
              <w:rPr>
                <w:rFonts w:ascii="Arial" w:hAnsi="Arial"/>
                <w:b w:val="0"/>
                <w:sz w:val="17"/>
              </w:rPr>
              <w:t>45</w:t>
            </w:r>
          </w:p>
        </w:tc>
        <w:tc>
          <w:tcPr>
            <w:tcW w:type="dxa" w:w="1126"/>
          </w:tcPr>
          <w:p>
            <w:pPr>
              <w:spacing w:after="0" w:before="0"/>
            </w:pPr>
            <w:r>
              <w:rPr>
                <w:rFonts w:ascii="Arial" w:hAnsi="Arial"/>
                <w:b w:val="0"/>
                <w:sz w:val="17"/>
              </w:rPr>
              <w:t>35</w:t>
            </w:r>
          </w:p>
        </w:tc>
      </w:tr>
      <w:tr>
        <w:tc>
          <w:tcPr>
            <w:tcW w:type="dxa" w:w="3100"/>
            <w:shd w:val="clear" w:color="auto" w:fill="F2F2F2"/>
          </w:tcPr>
          <w:p>
            <w:pPr>
              <w:spacing w:after="0" w:before="0"/>
            </w:pPr>
            <w:r>
              <w:rPr>
                <w:rFonts w:ascii="Arial" w:hAnsi="Arial"/>
                <w:b w:val="0"/>
                <w:sz w:val="17"/>
              </w:rPr>
              <w:t>Upper GI (anti-reflux and hiatal hernia)</w:t>
            </w:r>
          </w:p>
        </w:tc>
        <w:tc>
          <w:tcPr>
            <w:tcW w:type="dxa" w:w="1100"/>
            <w:shd w:val="clear" w:color="auto" w:fill="F2F2F2"/>
          </w:tcPr>
          <w:p>
            <w:pPr>
              <w:spacing w:after="0" w:before="0"/>
            </w:pPr>
            <w:r>
              <w:rPr>
                <w:rFonts w:ascii="Arial" w:hAnsi="Arial"/>
                <w:b w:val="0"/>
                <w:sz w:val="17"/>
              </w:rPr>
              <w:t>0.0</w:t>
            </w:r>
          </w:p>
        </w:tc>
        <w:tc>
          <w:tcPr>
            <w:tcW w:type="dxa" w:w="1300"/>
            <w:shd w:val="clear" w:color="auto" w:fill="F2F2F2"/>
          </w:tcPr>
          <w:p>
            <w:pPr>
              <w:spacing w:after="0" w:before="0"/>
            </w:pPr>
            <w:r>
              <w:rPr>
                <w:rFonts w:ascii="Arial" w:hAnsi="Arial"/>
                <w:b w:val="0"/>
                <w:sz w:val="17"/>
              </w:rPr>
              <w:t>0</w:t>
            </w:r>
          </w:p>
        </w:tc>
        <w:tc>
          <w:tcPr>
            <w:tcW w:type="dxa" w:w="1200"/>
            <w:shd w:val="clear" w:color="auto" w:fill="F2F2F2"/>
          </w:tcPr>
          <w:p>
            <w:pPr>
              <w:spacing w:after="0" w:before="0"/>
            </w:pPr>
            <w:r>
              <w:rPr>
                <w:rFonts w:ascii="Arial" w:hAnsi="Arial"/>
                <w:b w:val="0"/>
                <w:sz w:val="17"/>
              </w:rPr>
              <w:t>20</w:t>
            </w:r>
          </w:p>
        </w:tc>
        <w:tc>
          <w:tcPr>
            <w:tcW w:type="dxa" w:w="1200"/>
            <w:shd w:val="clear" w:color="auto" w:fill="F2F2F2"/>
          </w:tcPr>
          <w:p>
            <w:pPr>
              <w:spacing w:after="0" w:before="0"/>
            </w:pPr>
            <w:r>
              <w:rPr>
                <w:rFonts w:ascii="Arial" w:hAnsi="Arial"/>
                <w:b w:val="0"/>
                <w:sz w:val="17"/>
              </w:rPr>
              <w:t>0</w:t>
            </w:r>
          </w:p>
        </w:tc>
        <w:tc>
          <w:tcPr>
            <w:tcW w:type="dxa" w:w="1126"/>
            <w:shd w:val="clear" w:color="auto" w:fill="F2F2F2"/>
          </w:tcPr>
          <w:p>
            <w:pPr>
              <w:spacing w:after="0" w:before="0"/>
            </w:pPr>
            <w:r>
              <w:rPr>
                <w:rFonts w:ascii="Arial" w:hAnsi="Arial"/>
                <w:b w:val="0"/>
                <w:sz w:val="17"/>
              </w:rPr>
              <w:t>20</w:t>
            </w:r>
          </w:p>
        </w:tc>
      </w:tr>
    </w:tbl>
    <w:p/>
    <w:p>
      <w:r>
        <w:rPr>
          <w:rFonts w:ascii="Arial" w:hAnsi="Arial"/>
          <w:b w:val="0"/>
          <w:sz w:val="22"/>
        </w:rPr>
        <w:t>Total unmet demand: 55 cases a year.</w:t>
      </w:r>
    </w:p>
    <w:p>
      <w:pPr>
        <w:pStyle w:val="Heading3"/>
      </w:pPr>
      <w:r>
        <w:t>Robot 1: two-week template</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526"/>
        <w:gridCol w:w="2500"/>
        <w:gridCol w:w="2500"/>
        <w:gridCol w:w="2500"/>
      </w:tblGrid>
      <w:tr>
        <w:trPr>
          <w:tblHeader w:val="true"/>
        </w:trPr>
        <w:tc>
          <w:tcPr>
            <w:tcW w:type="dxa" w:w="1526"/>
            <w:shd w:val="clear" w:color="auto" w:fill="1F3864"/>
          </w:tcPr>
          <w:p>
            <w:pPr>
              <w:spacing w:after="0" w:before="0"/>
            </w:pPr>
            <w:r/>
          </w:p>
        </w:tc>
        <w:tc>
          <w:tcPr>
            <w:tcW w:type="dxa" w:w="2500"/>
            <w:shd w:val="clear" w:color="auto" w:fill="1F3864"/>
          </w:tcPr>
          <w:p>
            <w:pPr>
              <w:spacing w:after="0" w:before="0"/>
            </w:pPr>
            <w:r/>
            <w:r>
              <w:rPr>
                <w:rFonts w:ascii="Arial" w:hAnsi="Arial"/>
                <w:b/>
                <w:color w:val="FFFFFF"/>
                <w:sz w:val="17"/>
              </w:rPr>
              <w:t>AM</w:t>
            </w:r>
          </w:p>
        </w:tc>
        <w:tc>
          <w:tcPr>
            <w:tcW w:type="dxa" w:w="2500"/>
            <w:shd w:val="clear" w:color="auto" w:fill="1F3864"/>
          </w:tcPr>
          <w:p>
            <w:pPr>
              <w:spacing w:after="0" w:before="0"/>
            </w:pPr>
            <w:r/>
            <w:r>
              <w:rPr>
                <w:rFonts w:ascii="Arial" w:hAnsi="Arial"/>
                <w:b/>
                <w:color w:val="FFFFFF"/>
                <w:sz w:val="17"/>
              </w:rPr>
              <w:t>PM</w:t>
            </w:r>
          </w:p>
        </w:tc>
        <w:tc>
          <w:tcPr>
            <w:tcW w:type="dxa" w:w="2500"/>
            <w:shd w:val="clear" w:color="auto" w:fill="1F3864"/>
          </w:tcPr>
          <w:p>
            <w:pPr>
              <w:spacing w:after="0" w:before="0"/>
            </w:pPr>
            <w:r/>
            <w:r>
              <w:rPr>
                <w:rFonts w:ascii="Arial" w:hAnsi="Arial"/>
                <w:b/>
                <w:color w:val="FFFFFF"/>
                <w:sz w:val="17"/>
              </w:rPr>
              <w:t>Evening</w:t>
            </w:r>
          </w:p>
        </w:tc>
      </w:tr>
      <w:tr>
        <w:tc>
          <w:tcPr>
            <w:tcW w:type="dxa" w:w="1526"/>
          </w:tcPr>
          <w:p>
            <w:pPr>
              <w:spacing w:after="0" w:before="0"/>
            </w:pPr>
            <w:r>
              <w:rPr>
                <w:rFonts w:ascii="Arial" w:hAnsi="Arial"/>
                <w:b w:val="0"/>
                <w:sz w:val="17"/>
              </w:rPr>
              <w:t>Week 1 Mon</w:t>
            </w:r>
          </w:p>
        </w:tc>
        <w:tc>
          <w:tcPr>
            <w:tcW w:type="dxa" w:w="2500"/>
          </w:tcPr>
          <w:p>
            <w:pPr>
              <w:spacing w:after="0" w:before="0"/>
            </w:pPr>
            <w:r>
              <w:rPr>
                <w:rFonts w:ascii="Arial" w:hAnsi="Arial"/>
                <w:b w:val="0"/>
                <w:sz w:val="17"/>
              </w:rPr>
              <w:t>Urology: kidney: 2 medium</w:t>
            </w:r>
          </w:p>
        </w:tc>
        <w:tc>
          <w:tcPr>
            <w:tcW w:type="dxa" w:w="2500"/>
          </w:tcPr>
          <w:p>
            <w:pPr>
              <w:spacing w:after="0" w:before="0"/>
            </w:pPr>
            <w:r>
              <w:rPr>
                <w:rFonts w:ascii="Arial" w:hAnsi="Arial"/>
                <w:b w:val="0"/>
                <w:sz w:val="17"/>
              </w:rPr>
              <w:t>Urology: kidney: 1 medium</w:t>
            </w:r>
          </w:p>
        </w:tc>
        <w:tc>
          <w:tcPr>
            <w:tcW w:type="dxa" w:w="2500"/>
          </w:tcPr>
          <w:p>
            <w:pPr>
              <w:spacing w:after="0" w:before="0"/>
            </w:pPr>
          </w:p>
        </w:tc>
      </w:tr>
      <w:tr>
        <w:tc>
          <w:tcPr>
            <w:tcW w:type="dxa" w:w="1526"/>
            <w:shd w:val="clear" w:color="auto" w:fill="F2F2F2"/>
          </w:tcPr>
          <w:p>
            <w:pPr>
              <w:spacing w:after="0" w:before="0"/>
            </w:pPr>
            <w:r>
              <w:rPr>
                <w:rFonts w:ascii="Arial" w:hAnsi="Arial"/>
                <w:b w:val="0"/>
                <w:sz w:val="17"/>
              </w:rPr>
              <w:t>Week 1 Tue</w:t>
            </w:r>
          </w:p>
        </w:tc>
        <w:tc>
          <w:tcPr>
            <w:tcW w:type="dxa" w:w="2500"/>
            <w:shd w:val="clear" w:color="auto" w:fill="F2F2F2"/>
          </w:tcPr>
          <w:p>
            <w:pPr>
              <w:spacing w:after="0" w:before="0"/>
            </w:pPr>
            <w:r>
              <w:rPr>
                <w:rFonts w:ascii="Arial" w:hAnsi="Arial"/>
                <w:b w:val="0"/>
                <w:sz w:val="17"/>
              </w:rPr>
              <w:t>Gynaecology: 2 major</w:t>
            </w:r>
          </w:p>
        </w:tc>
        <w:tc>
          <w:tcPr>
            <w:tcW w:type="dxa" w:w="2500"/>
            <w:shd w:val="clear" w:color="auto" w:fill="F2F2F2"/>
          </w:tcPr>
          <w:p>
            <w:pPr>
              <w:spacing w:after="0" w:before="0"/>
            </w:pPr>
            <w:r>
              <w:rPr>
                <w:rFonts w:ascii="Arial" w:hAnsi="Arial"/>
                <w:b w:val="0"/>
                <w:sz w:val="17"/>
              </w:rPr>
              <w:t>Gynaecology: 1 major + 1 minor</w:t>
            </w:r>
          </w:p>
        </w:tc>
        <w:tc>
          <w:tcPr>
            <w:tcW w:type="dxa" w:w="2500"/>
            <w:shd w:val="clear" w:color="auto" w:fill="F2F2F2"/>
          </w:tcPr>
          <w:p>
            <w:pPr>
              <w:spacing w:after="0" w:before="0"/>
            </w:pPr>
          </w:p>
        </w:tc>
      </w:tr>
      <w:tr>
        <w:tc>
          <w:tcPr>
            <w:tcW w:type="dxa" w:w="1526"/>
          </w:tcPr>
          <w:p>
            <w:pPr>
              <w:spacing w:after="0" w:before="0"/>
            </w:pPr>
            <w:r>
              <w:rPr>
                <w:rFonts w:ascii="Arial" w:hAnsi="Arial"/>
                <w:b w:val="0"/>
                <w:sz w:val="17"/>
              </w:rPr>
              <w:t>Week 1 Wed</w:t>
            </w:r>
          </w:p>
        </w:tc>
        <w:tc>
          <w:tcPr>
            <w:tcW w:type="dxa" w:w="2500"/>
          </w:tcPr>
          <w:p>
            <w:pPr>
              <w:spacing w:after="0" w:before="0"/>
            </w:pPr>
            <w:r>
              <w:rPr>
                <w:rFonts w:ascii="Arial" w:hAnsi="Arial"/>
                <w:b w:val="0"/>
                <w:sz w:val="17"/>
              </w:rPr>
              <w:t>Gynaecology: 2 major</w:t>
            </w:r>
          </w:p>
        </w:tc>
        <w:tc>
          <w:tcPr>
            <w:tcW w:type="dxa" w:w="2500"/>
          </w:tcPr>
          <w:p>
            <w:pPr>
              <w:spacing w:after="0" w:before="0"/>
            </w:pPr>
            <w:r>
              <w:rPr>
                <w:rFonts w:ascii="Arial" w:hAnsi="Arial"/>
                <w:b w:val="0"/>
                <w:sz w:val="17"/>
              </w:rPr>
              <w:t>Gynaecology: 1 major</w:t>
            </w:r>
          </w:p>
        </w:tc>
        <w:tc>
          <w:tcPr>
            <w:tcW w:type="dxa" w:w="2500"/>
          </w:tcPr>
          <w:p>
            <w:pPr>
              <w:spacing w:after="0" w:before="0"/>
            </w:pPr>
          </w:p>
        </w:tc>
      </w:tr>
      <w:tr>
        <w:tc>
          <w:tcPr>
            <w:tcW w:type="dxa" w:w="1526"/>
            <w:shd w:val="clear" w:color="auto" w:fill="F2F2F2"/>
          </w:tcPr>
          <w:p>
            <w:pPr>
              <w:spacing w:after="0" w:before="0"/>
            </w:pPr>
            <w:r>
              <w:rPr>
                <w:rFonts w:ascii="Arial" w:hAnsi="Arial"/>
                <w:b w:val="0"/>
                <w:sz w:val="17"/>
              </w:rPr>
              <w:t>Week 1 Thu</w:t>
            </w:r>
          </w:p>
        </w:tc>
        <w:tc>
          <w:tcPr>
            <w:tcW w:type="dxa" w:w="2500"/>
            <w:shd w:val="clear" w:color="auto" w:fill="F2F2F2"/>
          </w:tcPr>
          <w:p>
            <w:pPr>
              <w:spacing w:after="0" w:before="0"/>
            </w:pPr>
            <w:r>
              <w:rPr>
                <w:rFonts w:ascii="Arial" w:hAnsi="Arial"/>
                <w:b w:val="0"/>
                <w:sz w:val="17"/>
              </w:rPr>
              <w:t>Colorectal: 1 major</w:t>
            </w:r>
          </w:p>
        </w:tc>
        <w:tc>
          <w:tcPr>
            <w:tcW w:type="dxa" w:w="2500"/>
            <w:shd w:val="clear" w:color="auto" w:fill="F2F2F2"/>
          </w:tcPr>
          <w:p>
            <w:pPr>
              <w:spacing w:after="0" w:before="0"/>
            </w:pPr>
            <w:r>
              <w:rPr>
                <w:rFonts w:ascii="Arial" w:hAnsi="Arial"/>
                <w:b w:val="0"/>
                <w:sz w:val="17"/>
              </w:rPr>
              <w:t>Colorectal: 1 major</w:t>
            </w:r>
          </w:p>
        </w:tc>
        <w:tc>
          <w:tcPr>
            <w:tcW w:type="dxa" w:w="2500"/>
            <w:shd w:val="clear" w:color="auto" w:fill="F2F2F2"/>
          </w:tcPr>
          <w:p>
            <w:pPr>
              <w:spacing w:after="0" w:before="0"/>
            </w:pPr>
          </w:p>
        </w:tc>
      </w:tr>
      <w:tr>
        <w:tc>
          <w:tcPr>
            <w:tcW w:type="dxa" w:w="1526"/>
          </w:tcPr>
          <w:p>
            <w:pPr>
              <w:spacing w:after="0" w:before="0"/>
            </w:pPr>
            <w:r>
              <w:rPr>
                <w:rFonts w:ascii="Arial" w:hAnsi="Arial"/>
                <w:b w:val="0"/>
                <w:sz w:val="17"/>
              </w:rPr>
              <w:t>Week 1 Fri</w:t>
            </w:r>
          </w:p>
        </w:tc>
        <w:tc>
          <w:tcPr>
            <w:tcW w:type="dxa" w:w="2500"/>
          </w:tcPr>
          <w:p>
            <w:pPr>
              <w:spacing w:after="0" w:before="0"/>
            </w:pPr>
            <w:r>
              <w:rPr>
                <w:rFonts w:ascii="Arial" w:hAnsi="Arial"/>
                <w:b w:val="0"/>
                <w:sz w:val="17"/>
              </w:rPr>
              <w:t>Abdominal wall: 1 major</w:t>
            </w:r>
          </w:p>
        </w:tc>
        <w:tc>
          <w:tcPr>
            <w:tcW w:type="dxa" w:w="2500"/>
          </w:tcPr>
          <w:p>
            <w:pPr>
              <w:spacing w:after="0" w:before="0"/>
            </w:pPr>
            <w:r>
              <w:rPr>
                <w:rFonts w:ascii="Arial" w:hAnsi="Arial"/>
                <w:b w:val="0"/>
                <w:sz w:val="17"/>
              </w:rPr>
              <w:t>Maintenance</w:t>
            </w:r>
          </w:p>
        </w:tc>
        <w:tc>
          <w:tcPr>
            <w:tcW w:type="dxa" w:w="2500"/>
          </w:tcPr>
          <w:p>
            <w:pPr>
              <w:spacing w:after="0" w:before="0"/>
            </w:pPr>
          </w:p>
        </w:tc>
      </w:tr>
      <w:tr>
        <w:tc>
          <w:tcPr>
            <w:tcW w:type="dxa" w:w="1526"/>
            <w:shd w:val="clear" w:color="auto" w:fill="F2F2F2"/>
          </w:tcPr>
          <w:p>
            <w:pPr>
              <w:spacing w:after="0" w:before="0"/>
            </w:pPr>
            <w:r>
              <w:rPr>
                <w:rFonts w:ascii="Arial" w:hAnsi="Arial"/>
                <w:b w:val="0"/>
                <w:sz w:val="17"/>
              </w:rPr>
              <w:t>Week 2 Mon</w:t>
            </w:r>
          </w:p>
        </w:tc>
        <w:tc>
          <w:tcPr>
            <w:tcW w:type="dxa" w:w="2500"/>
            <w:shd w:val="clear" w:color="auto" w:fill="F2F2F2"/>
          </w:tcPr>
          <w:p>
            <w:pPr>
              <w:spacing w:after="0" w:before="0"/>
            </w:pPr>
            <w:r>
              <w:rPr>
                <w:rFonts w:ascii="Arial" w:hAnsi="Arial"/>
                <w:b w:val="0"/>
                <w:sz w:val="17"/>
              </w:rPr>
              <w:t>Gynaecology: 2 major</w:t>
            </w:r>
          </w:p>
        </w:tc>
        <w:tc>
          <w:tcPr>
            <w:tcW w:type="dxa" w:w="2500"/>
            <w:shd w:val="clear" w:color="auto" w:fill="F2F2F2"/>
          </w:tcPr>
          <w:p>
            <w:pPr>
              <w:spacing w:after="0" w:before="0"/>
            </w:pPr>
            <w:r>
              <w:rPr>
                <w:rFonts w:ascii="Arial" w:hAnsi="Arial"/>
                <w:b w:val="0"/>
                <w:sz w:val="17"/>
              </w:rPr>
              <w:t>Gynaecology: 1 major + 1 minor</w:t>
            </w:r>
          </w:p>
        </w:tc>
        <w:tc>
          <w:tcPr>
            <w:tcW w:type="dxa" w:w="2500"/>
            <w:shd w:val="clear" w:color="auto" w:fill="F2F2F2"/>
          </w:tcPr>
          <w:p>
            <w:pPr>
              <w:spacing w:after="0" w:before="0"/>
            </w:pPr>
          </w:p>
        </w:tc>
      </w:tr>
      <w:tr>
        <w:tc>
          <w:tcPr>
            <w:tcW w:type="dxa" w:w="1526"/>
          </w:tcPr>
          <w:p>
            <w:pPr>
              <w:spacing w:after="0" w:before="0"/>
            </w:pPr>
            <w:r>
              <w:rPr>
                <w:rFonts w:ascii="Arial" w:hAnsi="Arial"/>
                <w:b w:val="0"/>
                <w:sz w:val="17"/>
              </w:rPr>
              <w:t>Week 2 Tue</w:t>
            </w:r>
          </w:p>
        </w:tc>
        <w:tc>
          <w:tcPr>
            <w:tcW w:type="dxa" w:w="2500"/>
          </w:tcPr>
          <w:p>
            <w:pPr>
              <w:spacing w:after="0" w:before="0"/>
            </w:pPr>
            <w:r>
              <w:rPr>
                <w:rFonts w:ascii="Arial" w:hAnsi="Arial"/>
                <w:b w:val="0"/>
                <w:sz w:val="17"/>
              </w:rPr>
              <w:t>Gynaecology: 2 major</w:t>
            </w:r>
          </w:p>
        </w:tc>
        <w:tc>
          <w:tcPr>
            <w:tcW w:type="dxa" w:w="2500"/>
          </w:tcPr>
          <w:p>
            <w:pPr>
              <w:spacing w:after="0" w:before="0"/>
            </w:pPr>
            <w:r>
              <w:rPr>
                <w:rFonts w:ascii="Arial" w:hAnsi="Arial"/>
                <w:b w:val="0"/>
                <w:sz w:val="17"/>
              </w:rPr>
              <w:t>Gynaecology: 1 major</w:t>
            </w:r>
          </w:p>
        </w:tc>
        <w:tc>
          <w:tcPr>
            <w:tcW w:type="dxa" w:w="2500"/>
          </w:tcPr>
          <w:p>
            <w:pPr>
              <w:spacing w:after="0" w:before="0"/>
            </w:pPr>
          </w:p>
        </w:tc>
      </w:tr>
      <w:tr>
        <w:tc>
          <w:tcPr>
            <w:tcW w:type="dxa" w:w="1526"/>
            <w:shd w:val="clear" w:color="auto" w:fill="F2F2F2"/>
          </w:tcPr>
          <w:p>
            <w:pPr>
              <w:spacing w:after="0" w:before="0"/>
            </w:pPr>
            <w:r>
              <w:rPr>
                <w:rFonts w:ascii="Arial" w:hAnsi="Arial"/>
                <w:b w:val="0"/>
                <w:sz w:val="17"/>
              </w:rPr>
              <w:t>Week 2 Wed</w:t>
            </w:r>
          </w:p>
        </w:tc>
        <w:tc>
          <w:tcPr>
            <w:tcW w:type="dxa" w:w="2500"/>
            <w:shd w:val="clear" w:color="auto" w:fill="F2F2F2"/>
          </w:tcPr>
          <w:p>
            <w:pPr>
              <w:spacing w:after="0" w:before="0"/>
            </w:pPr>
            <w:r>
              <w:rPr>
                <w:rFonts w:ascii="Arial" w:hAnsi="Arial"/>
                <w:b w:val="0"/>
                <w:sz w:val="17"/>
              </w:rPr>
              <w:t>Colorectal: 1 major</w:t>
            </w:r>
          </w:p>
        </w:tc>
        <w:tc>
          <w:tcPr>
            <w:tcW w:type="dxa" w:w="2500"/>
            <w:shd w:val="clear" w:color="auto" w:fill="F2F2F2"/>
          </w:tcPr>
          <w:p>
            <w:pPr>
              <w:spacing w:after="0" w:before="0"/>
            </w:pPr>
            <w:r>
              <w:rPr>
                <w:rFonts w:ascii="Arial" w:hAnsi="Arial"/>
                <w:b w:val="0"/>
                <w:sz w:val="17"/>
              </w:rPr>
              <w:t>Colorectal: 1 major</w:t>
            </w:r>
          </w:p>
        </w:tc>
        <w:tc>
          <w:tcPr>
            <w:tcW w:type="dxa" w:w="2500"/>
            <w:shd w:val="clear" w:color="auto" w:fill="F2F2F2"/>
          </w:tcPr>
          <w:p>
            <w:pPr>
              <w:spacing w:after="0" w:before="0"/>
            </w:pPr>
          </w:p>
        </w:tc>
      </w:tr>
      <w:tr>
        <w:tc>
          <w:tcPr>
            <w:tcW w:type="dxa" w:w="1526"/>
          </w:tcPr>
          <w:p>
            <w:pPr>
              <w:spacing w:after="0" w:before="0"/>
            </w:pPr>
            <w:r>
              <w:rPr>
                <w:rFonts w:ascii="Arial" w:hAnsi="Arial"/>
                <w:b w:val="0"/>
                <w:sz w:val="17"/>
              </w:rPr>
              <w:t>Week 2 Thu</w:t>
            </w:r>
          </w:p>
        </w:tc>
        <w:tc>
          <w:tcPr>
            <w:tcW w:type="dxa" w:w="2500"/>
          </w:tcPr>
          <w:p>
            <w:pPr>
              <w:spacing w:after="0" w:before="0"/>
            </w:pPr>
            <w:r>
              <w:rPr>
                <w:rFonts w:ascii="Arial" w:hAnsi="Arial"/>
                <w:b w:val="0"/>
                <w:sz w:val="17"/>
              </w:rPr>
              <w:t>Colorectal: 1 major</w:t>
            </w:r>
          </w:p>
        </w:tc>
        <w:tc>
          <w:tcPr>
            <w:tcW w:type="dxa" w:w="2500"/>
          </w:tcPr>
          <w:p>
            <w:pPr>
              <w:spacing w:after="0" w:before="0"/>
            </w:pPr>
            <w:r>
              <w:rPr>
                <w:rFonts w:ascii="Arial" w:hAnsi="Arial"/>
                <w:b w:val="0"/>
                <w:sz w:val="17"/>
              </w:rPr>
              <w:t>Colorectal: 1 major</w:t>
            </w:r>
          </w:p>
        </w:tc>
        <w:tc>
          <w:tcPr>
            <w:tcW w:type="dxa" w:w="2500"/>
          </w:tcPr>
          <w:p>
            <w:pPr>
              <w:spacing w:after="0" w:before="0"/>
            </w:pPr>
          </w:p>
        </w:tc>
      </w:tr>
      <w:tr>
        <w:tc>
          <w:tcPr>
            <w:tcW w:type="dxa" w:w="1526"/>
            <w:shd w:val="clear" w:color="auto" w:fill="F2F2F2"/>
          </w:tcPr>
          <w:p>
            <w:pPr>
              <w:spacing w:after="0" w:before="0"/>
            </w:pPr>
            <w:r>
              <w:rPr>
                <w:rFonts w:ascii="Arial" w:hAnsi="Arial"/>
                <w:b w:val="0"/>
                <w:sz w:val="17"/>
              </w:rPr>
              <w:t>Week 2 Fri</w:t>
            </w:r>
          </w:p>
        </w:tc>
        <w:tc>
          <w:tcPr>
            <w:tcW w:type="dxa" w:w="2500"/>
            <w:shd w:val="clear" w:color="auto" w:fill="F2F2F2"/>
          </w:tcPr>
          <w:p>
            <w:pPr>
              <w:spacing w:after="0" w:before="0"/>
            </w:pPr>
            <w:r>
              <w:rPr>
                <w:rFonts w:ascii="Arial" w:hAnsi="Arial"/>
                <w:b w:val="0"/>
                <w:sz w:val="17"/>
              </w:rPr>
              <w:t>Abdominal wall: 1 major</w:t>
            </w:r>
          </w:p>
        </w:tc>
        <w:tc>
          <w:tcPr>
            <w:tcW w:type="dxa" w:w="2500"/>
            <w:shd w:val="clear" w:color="auto" w:fill="F2F2F2"/>
          </w:tcPr>
          <w:p>
            <w:pPr>
              <w:spacing w:after="0" w:before="0"/>
            </w:pPr>
            <w:r>
              <w:rPr>
                <w:rFonts w:ascii="Arial" w:hAnsi="Arial"/>
                <w:b w:val="0"/>
                <w:sz w:val="17"/>
              </w:rPr>
              <w:t>Maintenance</w:t>
            </w:r>
          </w:p>
        </w:tc>
        <w:tc>
          <w:tcPr>
            <w:tcW w:type="dxa" w:w="2500"/>
            <w:shd w:val="clear" w:color="auto" w:fill="F2F2F2"/>
          </w:tcPr>
          <w:p>
            <w:pPr>
              <w:spacing w:after="0" w:before="0"/>
            </w:pPr>
          </w:p>
        </w:tc>
      </w:tr>
    </w:tbl>
    <w:p/>
    <w:p>
      <w:r>
        <w:rPr>
          <w:rFonts w:ascii="Arial" w:hAnsi="Arial"/>
          <w:b w:val="0"/>
          <w:sz w:val="22"/>
        </w:rPr>
        <w:t>Saturdays and Sundays are shown only where a session is in use.</w:t>
      </w:r>
    </w:p>
    <w:p>
      <w:pPr>
        <w:pStyle w:val="Heading2"/>
      </w:pPr>
      <w:r>
        <w:t>6.2 Governance, workforce and training</w:t>
      </w:r>
    </w:p>
    <w:p>
      <w:pPr>
        <w:pStyle w:val="ListBullet"/>
      </w:pPr>
      <w:r>
        <w:rPr>
          <w:rFonts w:ascii="Arial" w:hAnsi="Arial"/>
          <w:b w:val="0"/>
          <w:sz w:val="22"/>
          <w:highlight w:val="yellow"/>
        </w:rPr>
        <w:t>[Name the robotic steering committee, its executive chair and reporting line.]</w:t>
      </w:r>
      <w:r>
        <w:rPr>
          <w:rFonts w:ascii="Arial" w:hAnsi="Arial"/>
          <w:b w:val="0"/>
          <w:sz w:val="22"/>
        </w:rPr>
        <w:t xml:space="preserve"> The committee approves every new indication and owns delivery of this business case (GIRFT 2025).</w:t>
      </w:r>
    </w:p>
    <w:p>
      <w:pPr>
        <w:pStyle w:val="ListBullet"/>
      </w:pPr>
      <w:r>
        <w:rPr>
          <w:rFonts w:ascii="Arial" w:hAnsi="Arial"/>
          <w:b w:val="0"/>
          <w:sz w:val="22"/>
        </w:rPr>
        <w:t>Each specialty names a clinical benefit owner and robotic lead, and agrees a credentialing and proctoring pathway.</w:t>
      </w:r>
    </w:p>
    <w:p>
      <w:pPr>
        <w:pStyle w:val="ListBullet"/>
      </w:pPr>
      <w:r>
        <w:rPr>
          <w:rFonts w:ascii="Arial" w:hAnsi="Arial"/>
          <w:b w:val="0"/>
          <w:sz w:val="22"/>
        </w:rPr>
        <w:t>A surgical first assistant or surgical care practitioner is funded at 1 whole-time equivalent per robot.</w:t>
      </w:r>
    </w:p>
    <w:p>
      <w:pPr>
        <w:pStyle w:val="ListBullet"/>
      </w:pPr>
      <w:r>
        <w:rPr>
          <w:rFonts w:ascii="Arial" w:hAnsi="Arial"/>
          <w:b w:val="0"/>
          <w:sz w:val="22"/>
        </w:rPr>
        <w:t>Learning curve allowed for: benefits are scaled to 75% in year 1 and 90% in year 2.</w:t>
      </w:r>
    </w:p>
    <w:p>
      <w:pPr>
        <w:pStyle w:val="ListBullet"/>
      </w:pPr>
      <w:r>
        <w:rPr>
          <w:rFonts w:ascii="Arial" w:hAnsi="Arial"/>
          <w:b w:val="0"/>
          <w:sz w:val="22"/>
        </w:rPr>
        <w:t>Utilisation ramps from 70% in year 1 to 90% in year 2 and 100% from year 3.</w:t>
      </w:r>
    </w:p>
    <w:p>
      <w:pPr>
        <w:pStyle w:val="Heading2"/>
      </w:pPr>
      <w:r>
        <w:t>6.3 Benefits realisation at 12 months</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400"/>
        <w:gridCol w:w="1800"/>
        <w:gridCol w:w="1500"/>
        <w:gridCol w:w="2326"/>
      </w:tblGrid>
      <w:tr>
        <w:trPr>
          <w:tblHeader w:val="true"/>
        </w:trPr>
        <w:tc>
          <w:tcPr>
            <w:tcW w:type="dxa" w:w="3400"/>
            <w:shd w:val="clear" w:color="auto" w:fill="1F3864"/>
          </w:tcPr>
          <w:p>
            <w:pPr>
              <w:spacing w:after="0" w:before="0"/>
            </w:pPr>
            <w:r/>
            <w:r>
              <w:rPr>
                <w:rFonts w:ascii="Arial" w:hAnsi="Arial"/>
                <w:b/>
                <w:color w:val="FFFFFF"/>
                <w:sz w:val="19"/>
              </w:rPr>
              <w:t>Measure</w:t>
            </w:r>
          </w:p>
        </w:tc>
        <w:tc>
          <w:tcPr>
            <w:tcW w:type="dxa" w:w="1800"/>
            <w:shd w:val="clear" w:color="auto" w:fill="1F3864"/>
          </w:tcPr>
          <w:p>
            <w:pPr>
              <w:spacing w:after="0" w:before="0"/>
            </w:pPr>
            <w:r/>
            <w:r>
              <w:rPr>
                <w:rFonts w:ascii="Arial" w:hAnsi="Arial"/>
                <w:b/>
                <w:color w:val="FFFFFF"/>
                <w:sz w:val="19"/>
              </w:rPr>
              <w:t>Planned (year 1)</w:t>
            </w:r>
          </w:p>
        </w:tc>
        <w:tc>
          <w:tcPr>
            <w:tcW w:type="dxa" w:w="1500"/>
            <w:shd w:val="clear" w:color="auto" w:fill="1F3864"/>
          </w:tcPr>
          <w:p>
            <w:pPr>
              <w:spacing w:after="0" w:before="0"/>
            </w:pPr>
            <w:r/>
            <w:r>
              <w:rPr>
                <w:rFonts w:ascii="Arial" w:hAnsi="Arial"/>
                <w:b/>
                <w:color w:val="FFFFFF"/>
                <w:sz w:val="19"/>
              </w:rPr>
              <w:t>Actual</w:t>
            </w:r>
          </w:p>
        </w:tc>
        <w:tc>
          <w:tcPr>
            <w:tcW w:type="dxa" w:w="2326"/>
            <w:shd w:val="clear" w:color="auto" w:fill="1F3864"/>
          </w:tcPr>
          <w:p>
            <w:pPr>
              <w:spacing w:after="0" w:before="0"/>
            </w:pPr>
            <w:r/>
            <w:r>
              <w:rPr>
                <w:rFonts w:ascii="Arial" w:hAnsi="Arial"/>
                <w:b/>
                <w:color w:val="FFFFFF"/>
                <w:sz w:val="19"/>
              </w:rPr>
              <w:t>Source</w:t>
            </w:r>
          </w:p>
        </w:tc>
      </w:tr>
      <w:tr>
        <w:tc>
          <w:tcPr>
            <w:tcW w:type="dxa" w:w="3400"/>
          </w:tcPr>
          <w:p>
            <w:pPr>
              <w:spacing w:after="0" w:before="0"/>
            </w:pPr>
            <w:r>
              <w:rPr>
                <w:rFonts w:ascii="Arial" w:hAnsi="Arial"/>
                <w:b w:val="0"/>
                <w:sz w:val="19"/>
              </w:rPr>
              <w:t>Robotic operations</w:t>
            </w:r>
          </w:p>
        </w:tc>
        <w:tc>
          <w:tcPr>
            <w:tcW w:type="dxa" w:w="1800"/>
          </w:tcPr>
          <w:p>
            <w:pPr>
              <w:spacing w:after="0" w:before="0"/>
            </w:pPr>
            <w:r>
              <w:rPr>
                <w:rFonts w:ascii="Arial" w:hAnsi="Arial"/>
                <w:b w:val="0"/>
                <w:sz w:val="19"/>
              </w:rPr>
              <w:t>287</w:t>
            </w:r>
          </w:p>
        </w:tc>
        <w:tc>
          <w:tcPr>
            <w:tcW w:type="dxa" w:w="1500"/>
          </w:tcPr>
          <w:p>
            <w:pPr>
              <w:spacing w:after="0" w:before="0"/>
            </w:pPr>
          </w:p>
        </w:tc>
        <w:tc>
          <w:tcPr>
            <w:tcW w:type="dxa" w:w="2326"/>
          </w:tcPr>
          <w:p>
            <w:pPr>
              <w:spacing w:after="0" w:before="0"/>
            </w:pPr>
            <w:r>
              <w:rPr>
                <w:rFonts w:ascii="Arial" w:hAnsi="Arial"/>
                <w:b w:val="0"/>
                <w:sz w:val="19"/>
              </w:rPr>
              <w:t>Theatre system</w:t>
            </w:r>
          </w:p>
        </w:tc>
      </w:tr>
      <w:tr>
        <w:tc>
          <w:tcPr>
            <w:tcW w:type="dxa" w:w="3400"/>
            <w:shd w:val="clear" w:color="auto" w:fill="F2F2F2"/>
          </w:tcPr>
          <w:p>
            <w:pPr>
              <w:spacing w:after="0" w:before="0"/>
            </w:pPr>
            <w:r>
              <w:rPr>
                <w:rFonts w:ascii="Arial" w:hAnsi="Arial"/>
                <w:b w:val="0"/>
                <w:sz w:val="19"/>
              </w:rPr>
              <w:t>Utilisation in year 1</w:t>
            </w:r>
          </w:p>
        </w:tc>
        <w:tc>
          <w:tcPr>
            <w:tcW w:type="dxa" w:w="1800"/>
            <w:shd w:val="clear" w:color="auto" w:fill="F2F2F2"/>
          </w:tcPr>
          <w:p>
            <w:pPr>
              <w:spacing w:after="0" w:before="0"/>
            </w:pPr>
            <w:r>
              <w:rPr>
                <w:rFonts w:ascii="Arial" w:hAnsi="Arial"/>
                <w:b w:val="0"/>
                <w:sz w:val="19"/>
              </w:rPr>
              <w:t>70%</w:t>
            </w:r>
          </w:p>
        </w:tc>
        <w:tc>
          <w:tcPr>
            <w:tcW w:type="dxa" w:w="1500"/>
            <w:shd w:val="clear" w:color="auto" w:fill="F2F2F2"/>
          </w:tcPr>
          <w:p>
            <w:pPr>
              <w:spacing w:after="0" w:before="0"/>
            </w:pPr>
          </w:p>
        </w:tc>
        <w:tc>
          <w:tcPr>
            <w:tcW w:type="dxa" w:w="2326"/>
            <w:shd w:val="clear" w:color="auto" w:fill="F2F2F2"/>
          </w:tcPr>
          <w:p>
            <w:pPr>
              <w:spacing w:after="0" w:before="0"/>
            </w:pPr>
            <w:r>
              <w:rPr>
                <w:rFonts w:ascii="Arial" w:hAnsi="Arial"/>
                <w:b w:val="0"/>
                <w:sz w:val="19"/>
              </w:rPr>
              <w:t>Theatre system</w:t>
            </w:r>
          </w:p>
        </w:tc>
      </w:tr>
      <w:tr>
        <w:tc>
          <w:tcPr>
            <w:tcW w:type="dxa" w:w="3400"/>
          </w:tcPr>
          <w:p>
            <w:pPr>
              <w:spacing w:after="0" w:before="0"/>
            </w:pPr>
            <w:r>
              <w:rPr>
                <w:rFonts w:ascii="Arial" w:hAnsi="Arial"/>
                <w:b w:val="0"/>
                <w:sz w:val="19"/>
              </w:rPr>
              <w:t>Open operations avoided</w:t>
            </w:r>
          </w:p>
        </w:tc>
        <w:tc>
          <w:tcPr>
            <w:tcW w:type="dxa" w:w="1800"/>
          </w:tcPr>
          <w:p>
            <w:pPr>
              <w:spacing w:after="0" w:before="0"/>
            </w:pPr>
            <w:r>
              <w:rPr>
                <w:rFonts w:ascii="Arial" w:hAnsi="Arial"/>
                <w:b w:val="0"/>
                <w:sz w:val="19"/>
              </w:rPr>
              <w:t>98</w:t>
            </w:r>
          </w:p>
        </w:tc>
        <w:tc>
          <w:tcPr>
            <w:tcW w:type="dxa" w:w="1500"/>
          </w:tcPr>
          <w:p>
            <w:pPr>
              <w:spacing w:after="0" w:before="0"/>
            </w:pPr>
          </w:p>
        </w:tc>
        <w:tc>
          <w:tcPr>
            <w:tcW w:type="dxa" w:w="2326"/>
          </w:tcPr>
          <w:p>
            <w:pPr>
              <w:spacing w:after="0" w:before="0"/>
            </w:pPr>
            <w:r>
              <w:rPr>
                <w:rFonts w:ascii="Arial" w:hAnsi="Arial"/>
                <w:b w:val="0"/>
                <w:sz w:val="19"/>
              </w:rPr>
              <w:t>Local audit</w:t>
            </w:r>
          </w:p>
        </w:tc>
      </w:tr>
      <w:tr>
        <w:tc>
          <w:tcPr>
            <w:tcW w:type="dxa" w:w="3400"/>
            <w:shd w:val="clear" w:color="auto" w:fill="F2F2F2"/>
          </w:tcPr>
          <w:p>
            <w:pPr>
              <w:spacing w:after="0" w:before="0"/>
            </w:pPr>
            <w:r>
              <w:rPr>
                <w:rFonts w:ascii="Arial" w:hAnsi="Arial"/>
                <w:b w:val="0"/>
                <w:sz w:val="19"/>
              </w:rPr>
              <w:t>Bed-days released</w:t>
            </w:r>
          </w:p>
        </w:tc>
        <w:tc>
          <w:tcPr>
            <w:tcW w:type="dxa" w:w="1800"/>
            <w:shd w:val="clear" w:color="auto" w:fill="F2F2F2"/>
          </w:tcPr>
          <w:p>
            <w:pPr>
              <w:spacing w:after="0" w:before="0"/>
            </w:pPr>
            <w:r>
              <w:rPr>
                <w:rFonts w:ascii="Arial" w:hAnsi="Arial"/>
                <w:b w:val="0"/>
                <w:sz w:val="19"/>
              </w:rPr>
              <w:t>161</w:t>
            </w:r>
          </w:p>
        </w:tc>
        <w:tc>
          <w:tcPr>
            <w:tcW w:type="dxa" w:w="1500"/>
            <w:shd w:val="clear" w:color="auto" w:fill="F2F2F2"/>
          </w:tcPr>
          <w:p>
            <w:pPr>
              <w:spacing w:after="0" w:before="0"/>
            </w:pPr>
          </w:p>
        </w:tc>
        <w:tc>
          <w:tcPr>
            <w:tcW w:type="dxa" w:w="2326"/>
            <w:shd w:val="clear" w:color="auto" w:fill="F2F2F2"/>
          </w:tcPr>
          <w:p>
            <w:pPr>
              <w:spacing w:after="0" w:before="0"/>
            </w:pPr>
            <w:r>
              <w:rPr>
                <w:rFonts w:ascii="Arial" w:hAnsi="Arial"/>
                <w:b w:val="0"/>
                <w:sz w:val="19"/>
              </w:rPr>
              <w:t>Patient administration system</w:t>
            </w:r>
          </w:p>
        </w:tc>
      </w:tr>
      <w:tr>
        <w:tc>
          <w:tcPr>
            <w:tcW w:type="dxa" w:w="3400"/>
          </w:tcPr>
          <w:p>
            <w:pPr>
              <w:spacing w:after="0" w:before="0"/>
            </w:pPr>
            <w:r>
              <w:rPr>
                <w:rFonts w:ascii="Arial" w:hAnsi="Arial"/>
                <w:b w:val="0"/>
                <w:sz w:val="19"/>
              </w:rPr>
              <w:t>Conversions to open surgery</w:t>
            </w:r>
          </w:p>
        </w:tc>
        <w:tc>
          <w:tcPr>
            <w:tcW w:type="dxa" w:w="1800"/>
          </w:tcPr>
          <w:p>
            <w:pPr>
              <w:spacing w:after="0" w:before="0"/>
            </w:pPr>
            <w:r>
              <w:rPr>
                <w:rFonts w:ascii="Arial" w:hAnsi="Arial"/>
                <w:b w:val="0"/>
                <w:sz w:val="19"/>
              </w:rPr>
              <w:t>Track rate</w:t>
            </w:r>
          </w:p>
        </w:tc>
        <w:tc>
          <w:tcPr>
            <w:tcW w:type="dxa" w:w="1500"/>
          </w:tcPr>
          <w:p>
            <w:pPr>
              <w:spacing w:after="0" w:before="0"/>
            </w:pPr>
          </w:p>
        </w:tc>
        <w:tc>
          <w:tcPr>
            <w:tcW w:type="dxa" w:w="2326"/>
          </w:tcPr>
          <w:p>
            <w:pPr>
              <w:spacing w:after="0" w:before="0"/>
            </w:pPr>
            <w:r>
              <w:rPr>
                <w:rFonts w:ascii="Arial" w:hAnsi="Arial"/>
                <w:b w:val="0"/>
                <w:sz w:val="19"/>
              </w:rPr>
              <w:t>Operation notes</w:t>
            </w:r>
          </w:p>
        </w:tc>
      </w:tr>
      <w:tr>
        <w:tc>
          <w:tcPr>
            <w:tcW w:type="dxa" w:w="3400"/>
            <w:shd w:val="clear" w:color="auto" w:fill="F2F2F2"/>
          </w:tcPr>
          <w:p>
            <w:pPr>
              <w:spacing w:after="0" w:before="0"/>
            </w:pPr>
            <w:r>
              <w:rPr>
                <w:rFonts w:ascii="Arial" w:hAnsi="Arial"/>
                <w:b w:val="0"/>
                <w:sz w:val="19"/>
              </w:rPr>
              <w:t>Returns to theatre within 30 days</w:t>
            </w:r>
          </w:p>
        </w:tc>
        <w:tc>
          <w:tcPr>
            <w:tcW w:type="dxa" w:w="1800"/>
            <w:shd w:val="clear" w:color="auto" w:fill="F2F2F2"/>
          </w:tcPr>
          <w:p>
            <w:pPr>
              <w:spacing w:after="0" w:before="0"/>
            </w:pPr>
            <w:r>
              <w:rPr>
                <w:rFonts w:ascii="Arial" w:hAnsi="Arial"/>
                <w:b w:val="0"/>
                <w:sz w:val="19"/>
              </w:rPr>
              <w:t>Track rate</w:t>
            </w:r>
          </w:p>
        </w:tc>
        <w:tc>
          <w:tcPr>
            <w:tcW w:type="dxa" w:w="1500"/>
            <w:shd w:val="clear" w:color="auto" w:fill="F2F2F2"/>
          </w:tcPr>
          <w:p>
            <w:pPr>
              <w:spacing w:after="0" w:before="0"/>
            </w:pPr>
          </w:p>
        </w:tc>
        <w:tc>
          <w:tcPr>
            <w:tcW w:type="dxa" w:w="2326"/>
            <w:shd w:val="clear" w:color="auto" w:fill="F2F2F2"/>
          </w:tcPr>
          <w:p>
            <w:pPr>
              <w:spacing w:after="0" w:before="0"/>
            </w:pPr>
            <w:r>
              <w:rPr>
                <w:rFonts w:ascii="Arial" w:hAnsi="Arial"/>
                <w:b w:val="0"/>
                <w:sz w:val="19"/>
              </w:rPr>
              <w:t>Local audit</w:t>
            </w:r>
          </w:p>
        </w:tc>
      </w:tr>
      <w:tr>
        <w:tc>
          <w:tcPr>
            <w:tcW w:type="dxa" w:w="3400"/>
          </w:tcPr>
          <w:p>
            <w:pPr>
              <w:spacing w:after="0" w:before="0"/>
            </w:pPr>
            <w:r>
              <w:rPr>
                <w:rFonts w:ascii="Arial" w:hAnsi="Arial"/>
                <w:b w:val="0"/>
                <w:sz w:val="19"/>
              </w:rPr>
              <w:t>Readmissions within 30 days</w:t>
            </w:r>
          </w:p>
        </w:tc>
        <w:tc>
          <w:tcPr>
            <w:tcW w:type="dxa" w:w="1800"/>
          </w:tcPr>
          <w:p>
            <w:pPr>
              <w:spacing w:after="0" w:before="0"/>
            </w:pPr>
            <w:r>
              <w:rPr>
                <w:rFonts w:ascii="Arial" w:hAnsi="Arial"/>
                <w:b w:val="0"/>
                <w:sz w:val="19"/>
              </w:rPr>
              <w:t>Track rate</w:t>
            </w:r>
          </w:p>
        </w:tc>
        <w:tc>
          <w:tcPr>
            <w:tcW w:type="dxa" w:w="1500"/>
          </w:tcPr>
          <w:p>
            <w:pPr>
              <w:spacing w:after="0" w:before="0"/>
            </w:pPr>
          </w:p>
        </w:tc>
        <w:tc>
          <w:tcPr>
            <w:tcW w:type="dxa" w:w="2326"/>
          </w:tcPr>
          <w:p>
            <w:pPr>
              <w:spacing w:after="0" w:before="0"/>
            </w:pPr>
            <w:r>
              <w:rPr>
                <w:rFonts w:ascii="Arial" w:hAnsi="Arial"/>
                <w:b w:val="0"/>
                <w:sz w:val="19"/>
              </w:rPr>
              <w:t>Patient administration system</w:t>
            </w:r>
          </w:p>
        </w:tc>
      </w:tr>
      <w:tr>
        <w:tc>
          <w:tcPr>
            <w:tcW w:type="dxa" w:w="3400"/>
            <w:shd w:val="clear" w:color="auto" w:fill="F2F2F2"/>
          </w:tcPr>
          <w:p>
            <w:pPr>
              <w:spacing w:after="0" w:before="0"/>
            </w:pPr>
            <w:r>
              <w:rPr>
                <w:rFonts w:ascii="Arial" w:hAnsi="Arial"/>
                <w:b w:val="0"/>
                <w:sz w:val="19"/>
              </w:rPr>
              <w:t>Extra cost to the trust</w:t>
            </w:r>
          </w:p>
        </w:tc>
        <w:tc>
          <w:tcPr>
            <w:tcW w:type="dxa" w:w="1800"/>
            <w:shd w:val="clear" w:color="auto" w:fill="F2F2F2"/>
          </w:tcPr>
          <w:p>
            <w:pPr>
              <w:spacing w:after="0" w:before="0"/>
            </w:pPr>
            <w:r>
              <w:rPr>
                <w:rFonts w:ascii="Arial" w:hAnsi="Arial"/>
                <w:b w:val="0"/>
                <w:sz w:val="19"/>
              </w:rPr>
              <w:t>£960,240</w:t>
            </w:r>
          </w:p>
        </w:tc>
        <w:tc>
          <w:tcPr>
            <w:tcW w:type="dxa" w:w="1500"/>
            <w:shd w:val="clear" w:color="auto" w:fill="F2F2F2"/>
          </w:tcPr>
          <w:p>
            <w:pPr>
              <w:spacing w:after="0" w:before="0"/>
            </w:pPr>
          </w:p>
        </w:tc>
        <w:tc>
          <w:tcPr>
            <w:tcW w:type="dxa" w:w="2326"/>
            <w:shd w:val="clear" w:color="auto" w:fill="F2F2F2"/>
          </w:tcPr>
          <w:p>
            <w:pPr>
              <w:spacing w:after="0" w:before="0"/>
            </w:pPr>
            <w:r>
              <w:rPr>
                <w:rFonts w:ascii="Arial" w:hAnsi="Arial"/>
                <w:b w:val="0"/>
                <w:sz w:val="19"/>
              </w:rPr>
              <w:t>Finance</w:t>
            </w:r>
          </w:p>
        </w:tc>
      </w:tr>
      <w:tr>
        <w:tc>
          <w:tcPr>
            <w:tcW w:type="dxa" w:w="3400"/>
          </w:tcPr>
          <w:p>
            <w:pPr>
              <w:spacing w:after="0" w:before="0"/>
            </w:pPr>
            <w:r>
              <w:rPr>
                <w:rFonts w:ascii="Arial" w:hAnsi="Arial"/>
                <w:b w:val="0"/>
                <w:sz w:val="19"/>
              </w:rPr>
              <w:t>Instrument cost per case</w:t>
            </w:r>
          </w:p>
        </w:tc>
        <w:tc>
          <w:tcPr>
            <w:tcW w:type="dxa" w:w="1800"/>
          </w:tcPr>
          <w:p>
            <w:pPr>
              <w:spacing w:after="0" w:before="0"/>
            </w:pPr>
            <w:r>
              <w:rPr>
                <w:rFonts w:ascii="Arial" w:hAnsi="Arial"/>
                <w:b w:val="0"/>
                <w:sz w:val="19"/>
              </w:rPr>
              <w:t>£1,275</w:t>
            </w:r>
          </w:p>
        </w:tc>
        <w:tc>
          <w:tcPr>
            <w:tcW w:type="dxa" w:w="1500"/>
          </w:tcPr>
          <w:p>
            <w:pPr>
              <w:spacing w:after="0" w:before="0"/>
            </w:pPr>
          </w:p>
        </w:tc>
        <w:tc>
          <w:tcPr>
            <w:tcW w:type="dxa" w:w="2326"/>
          </w:tcPr>
          <w:p>
            <w:pPr>
              <w:spacing w:after="0" w:before="0"/>
            </w:pPr>
            <w:r>
              <w:rPr>
                <w:rFonts w:ascii="Arial" w:hAnsi="Arial"/>
                <w:b w:val="0"/>
                <w:sz w:val="19"/>
              </w:rPr>
              <w:t>Finance</w:t>
            </w:r>
          </w:p>
        </w:tc>
      </w:tr>
    </w:tbl>
    <w:p/>
    <w:p>
      <w:pPr>
        <w:pStyle w:val="Heading2"/>
      </w:pPr>
      <w:r>
        <w:t>6.4 Key risks</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800"/>
        <w:gridCol w:w="5226"/>
      </w:tblGrid>
      <w:tr>
        <w:trPr>
          <w:tblHeader w:val="true"/>
        </w:trPr>
        <w:tc>
          <w:tcPr>
            <w:tcW w:type="dxa" w:w="3800"/>
            <w:shd w:val="clear" w:color="auto" w:fill="1F3864"/>
          </w:tcPr>
          <w:p>
            <w:pPr>
              <w:spacing w:after="0" w:before="0"/>
            </w:pPr>
            <w:r/>
            <w:r>
              <w:rPr>
                <w:rFonts w:ascii="Arial" w:hAnsi="Arial"/>
                <w:b/>
                <w:color w:val="FFFFFF"/>
                <w:sz w:val="19"/>
              </w:rPr>
              <w:t>Risk</w:t>
            </w:r>
          </w:p>
        </w:tc>
        <w:tc>
          <w:tcPr>
            <w:tcW w:type="dxa" w:w="5225"/>
            <w:shd w:val="clear" w:color="auto" w:fill="1F3864"/>
          </w:tcPr>
          <w:p>
            <w:pPr>
              <w:spacing w:after="0" w:before="0"/>
            </w:pPr>
            <w:r/>
            <w:r>
              <w:rPr>
                <w:rFonts w:ascii="Arial" w:hAnsi="Arial"/>
                <w:b/>
                <w:color w:val="FFFFFF"/>
                <w:sz w:val="19"/>
              </w:rPr>
              <w:t>Mitigation</w:t>
            </w:r>
          </w:p>
        </w:tc>
      </w:tr>
      <w:tr>
        <w:tc>
          <w:tcPr>
            <w:tcW w:type="dxa" w:w="3800"/>
          </w:tcPr>
          <w:p>
            <w:pPr>
              <w:spacing w:after="0" w:before="0"/>
            </w:pPr>
            <w:r>
              <w:rPr>
                <w:rFonts w:ascii="Arial" w:hAnsi="Arial"/>
                <w:b w:val="0"/>
                <w:sz w:val="19"/>
              </w:rPr>
              <w:t>Robot under-used</w:t>
            </w:r>
          </w:p>
        </w:tc>
        <w:tc>
          <w:tcPr>
            <w:tcW w:type="dxa" w:w="5225"/>
          </w:tcPr>
          <w:p>
            <w:pPr>
              <w:spacing w:after="0" w:before="0"/>
            </w:pPr>
            <w:r>
              <w:rPr>
                <w:rFonts w:ascii="Arial" w:hAnsi="Arial"/>
                <w:b w:val="0"/>
                <w:sz w:val="19"/>
              </w:rPr>
              <w:t>Protected sessions in job plans; shared list for smaller specialties; quarterly utilisation review.</w:t>
            </w:r>
          </w:p>
        </w:tc>
      </w:tr>
      <w:tr>
        <w:tc>
          <w:tcPr>
            <w:tcW w:type="dxa" w:w="3800"/>
            <w:shd w:val="clear" w:color="auto" w:fill="F2F2F2"/>
          </w:tcPr>
          <w:p>
            <w:pPr>
              <w:spacing w:after="0" w:before="0"/>
            </w:pPr>
            <w:r>
              <w:rPr>
                <w:rFonts w:ascii="Arial" w:hAnsi="Arial"/>
                <w:b w:val="0"/>
                <w:sz w:val="19"/>
              </w:rPr>
              <w:t>Too few trained surgeons to fill the lists</w:t>
            </w:r>
          </w:p>
        </w:tc>
        <w:tc>
          <w:tcPr>
            <w:tcW w:type="dxa" w:w="5225"/>
            <w:shd w:val="clear" w:color="auto" w:fill="F2F2F2"/>
          </w:tcPr>
          <w:p>
            <w:pPr>
              <w:spacing w:after="0" w:before="0"/>
            </w:pPr>
            <w:r>
              <w:rPr>
                <w:rFonts w:ascii="Arial" w:hAnsi="Arial"/>
                <w:b w:val="0"/>
                <w:sz w:val="19"/>
              </w:rPr>
              <w:t>Training plan by specialty agreed before go-live; proctoring funded.</w:t>
            </w:r>
          </w:p>
        </w:tc>
      </w:tr>
      <w:tr>
        <w:tc>
          <w:tcPr>
            <w:tcW w:type="dxa" w:w="3800"/>
          </w:tcPr>
          <w:p>
            <w:pPr>
              <w:spacing w:after="0" w:before="0"/>
            </w:pPr>
            <w:r>
              <w:rPr>
                <w:rFonts w:ascii="Arial" w:hAnsi="Arial"/>
                <w:b w:val="0"/>
                <w:sz w:val="19"/>
              </w:rPr>
              <w:t>Instrument prices rise</w:t>
            </w:r>
          </w:p>
        </w:tc>
        <w:tc>
          <w:tcPr>
            <w:tcW w:type="dxa" w:w="5225"/>
          </w:tcPr>
          <w:p>
            <w:pPr>
              <w:spacing w:after="0" w:before="0"/>
            </w:pPr>
            <w:r>
              <w:rPr>
                <w:rFonts w:ascii="Arial" w:hAnsi="Arial"/>
                <w:b w:val="0"/>
                <w:sz w:val="19"/>
              </w:rPr>
              <w:t>Price cap in contract; review at renewal.</w:t>
            </w:r>
          </w:p>
        </w:tc>
      </w:tr>
      <w:tr>
        <w:tc>
          <w:tcPr>
            <w:tcW w:type="dxa" w:w="3800"/>
            <w:shd w:val="clear" w:color="auto" w:fill="F2F2F2"/>
          </w:tcPr>
          <w:p>
            <w:pPr>
              <w:spacing w:after="0" w:before="0"/>
            </w:pPr>
            <w:r>
              <w:rPr>
                <w:rFonts w:ascii="Arial" w:hAnsi="Arial"/>
                <w:b w:val="0"/>
                <w:sz w:val="19"/>
              </w:rPr>
              <w:t>Benefits smaller than assumed</w:t>
            </w:r>
          </w:p>
        </w:tc>
        <w:tc>
          <w:tcPr>
            <w:tcW w:type="dxa" w:w="5225"/>
            <w:shd w:val="clear" w:color="auto" w:fill="F2F2F2"/>
          </w:tcPr>
          <w:p>
            <w:pPr>
              <w:spacing w:after="0" w:before="0"/>
            </w:pPr>
            <w:r>
              <w:rPr>
                <w:rFonts w:ascii="Arial" w:hAnsi="Arial"/>
                <w:b w:val="0"/>
                <w:sz w:val="19"/>
              </w:rPr>
              <w:t>Sensitivity analysis shown; specialty review of assumptions; 12-month review against plan.</w:t>
            </w:r>
          </w:p>
        </w:tc>
      </w:tr>
      <w:tr>
        <w:tc>
          <w:tcPr>
            <w:tcW w:type="dxa" w:w="3800"/>
          </w:tcPr>
          <w:p>
            <w:pPr>
              <w:spacing w:after="0" w:before="0"/>
            </w:pPr>
            <w:r>
              <w:rPr>
                <w:rFonts w:ascii="Arial" w:hAnsi="Arial"/>
                <w:b w:val="0"/>
                <w:sz w:val="19"/>
              </w:rPr>
              <w:t>Laparoscopic cases moved to the robot with little benefit</w:t>
            </w:r>
          </w:p>
        </w:tc>
        <w:tc>
          <w:tcPr>
            <w:tcW w:type="dxa" w:w="5225"/>
          </w:tcPr>
          <w:p>
            <w:pPr>
              <w:spacing w:after="0" w:before="0"/>
            </w:pPr>
            <w:r>
              <w:rPr>
                <w:rFonts w:ascii="Arial" w:hAnsi="Arial"/>
                <w:b w:val="0"/>
                <w:sz w:val="19"/>
              </w:rPr>
              <w:t>Monitor the share of cases displacing open surgery.</w:t>
            </w:r>
          </w:p>
        </w:tc>
      </w:tr>
      <w:tr>
        <w:tc>
          <w:tcPr>
            <w:tcW w:type="dxa" w:w="3800"/>
            <w:shd w:val="clear" w:color="auto" w:fill="F2F2F2"/>
          </w:tcPr>
          <w:p>
            <w:pPr>
              <w:spacing w:after="0" w:before="0"/>
            </w:pPr>
            <w:r>
              <w:rPr>
                <w:rFonts w:ascii="Arial" w:hAnsi="Arial"/>
                <w:b w:val="0"/>
                <w:sz w:val="19"/>
              </w:rPr>
              <w:t>Training delays</w:t>
            </w:r>
          </w:p>
        </w:tc>
        <w:tc>
          <w:tcPr>
            <w:tcW w:type="dxa" w:w="5225"/>
            <w:shd w:val="clear" w:color="auto" w:fill="F2F2F2"/>
          </w:tcPr>
          <w:p>
            <w:pPr>
              <w:spacing w:after="0" w:before="0"/>
            </w:pPr>
            <w:r>
              <w:rPr>
                <w:rFonts w:ascii="Arial" w:hAnsi="Arial"/>
                <w:b w:val="0"/>
                <w:sz w:val="19"/>
              </w:rPr>
              <w:t>Phased start by specialty; proctoring agreed in advance.</w:t>
            </w:r>
          </w:p>
        </w:tc>
      </w:tr>
    </w:tbl>
    <w:p/>
    <w:p>
      <w:r>
        <w:br w:type="page"/>
      </w:r>
    </w:p>
    <w:p>
      <w:pPr>
        <w:pStyle w:val="Heading1"/>
      </w:pPr>
      <w:r>
        <w:t>Appendix A. Clinical assumptions by specialty</w:t>
      </w:r>
    </w:p>
    <w:p>
      <w:r>
        <w:rPr>
          <w:rFonts w:ascii="Arial" w:hAnsi="Arial"/>
          <w:b w:val="0"/>
          <w:sz w:val="22"/>
        </w:rPr>
        <w:t>Reductions are robotic versus the comparator, at 30 days, per case. 'Share' is the proportion of these patients who would have had that comparator without the robot. All values are best-available estimates pending specialty review; any changes from the defaults are listed in Appendix C.</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000"/>
        <w:gridCol w:w="1300"/>
        <w:gridCol w:w="650"/>
        <w:gridCol w:w="800"/>
        <w:gridCol w:w="850"/>
        <w:gridCol w:w="950"/>
        <w:gridCol w:w="900"/>
        <w:gridCol w:w="900"/>
        <w:gridCol w:w="676"/>
      </w:tblGrid>
      <w:tr>
        <w:trPr>
          <w:tblHeader w:val="true"/>
        </w:trPr>
        <w:tc>
          <w:tcPr>
            <w:tcW w:type="dxa" w:w="2000"/>
            <w:shd w:val="clear" w:color="auto" w:fill="1F3864"/>
          </w:tcPr>
          <w:p>
            <w:pPr>
              <w:spacing w:after="0" w:before="0"/>
            </w:pPr>
            <w:r/>
            <w:r>
              <w:rPr>
                <w:rFonts w:ascii="Arial" w:hAnsi="Arial"/>
                <w:b/>
                <w:color w:val="FFFFFF"/>
                <w:sz w:val="17"/>
              </w:rPr>
              <w:t>Specialty</w:t>
            </w:r>
          </w:p>
        </w:tc>
        <w:tc>
          <w:tcPr>
            <w:tcW w:type="dxa" w:w="1300"/>
            <w:shd w:val="clear" w:color="auto" w:fill="1F3864"/>
          </w:tcPr>
          <w:p>
            <w:pPr>
              <w:spacing w:after="0" w:before="0"/>
            </w:pPr>
            <w:r/>
            <w:r>
              <w:rPr>
                <w:rFonts w:ascii="Arial" w:hAnsi="Arial"/>
                <w:b/>
                <w:color w:val="FFFFFF"/>
                <w:sz w:val="17"/>
              </w:rPr>
              <w:t>Without the robot</w:t>
            </w:r>
          </w:p>
        </w:tc>
        <w:tc>
          <w:tcPr>
            <w:tcW w:type="dxa" w:w="650"/>
            <w:shd w:val="clear" w:color="auto" w:fill="1F3864"/>
          </w:tcPr>
          <w:p>
            <w:pPr>
              <w:spacing w:after="0" w:before="0"/>
            </w:pPr>
            <w:r/>
            <w:r>
              <w:rPr>
                <w:rFonts w:ascii="Arial" w:hAnsi="Arial"/>
                <w:b/>
                <w:color w:val="FFFFFF"/>
                <w:sz w:val="17"/>
              </w:rPr>
              <w:t>Share</w:t>
            </w:r>
          </w:p>
        </w:tc>
        <w:tc>
          <w:tcPr>
            <w:tcW w:type="dxa" w:w="800"/>
            <w:shd w:val="clear" w:color="auto" w:fill="1F3864"/>
          </w:tcPr>
          <w:p>
            <w:pPr>
              <w:spacing w:after="0" w:before="0"/>
            </w:pPr>
            <w:r/>
            <w:r>
              <w:rPr>
                <w:rFonts w:ascii="Arial" w:hAnsi="Arial"/>
                <w:b/>
                <w:color w:val="FFFFFF"/>
                <w:sz w:val="17"/>
              </w:rPr>
              <w:t>Bed-days saved</w:t>
            </w:r>
          </w:p>
        </w:tc>
        <w:tc>
          <w:tcPr>
            <w:tcW w:type="dxa" w:w="850"/>
            <w:shd w:val="clear" w:color="auto" w:fill="1F3864"/>
          </w:tcPr>
          <w:p>
            <w:pPr>
              <w:spacing w:after="0" w:before="0"/>
            </w:pPr>
            <w:r/>
            <w:r>
              <w:rPr>
                <w:rFonts w:ascii="Arial" w:hAnsi="Arial"/>
                <w:b/>
                <w:color w:val="FFFFFF"/>
                <w:sz w:val="17"/>
              </w:rPr>
              <w:t>Conversions avoided</w:t>
            </w:r>
          </w:p>
        </w:tc>
        <w:tc>
          <w:tcPr>
            <w:tcW w:type="dxa" w:w="950"/>
            <w:shd w:val="clear" w:color="auto" w:fill="1F3864"/>
          </w:tcPr>
          <w:p>
            <w:pPr>
              <w:spacing w:after="0" w:before="0"/>
            </w:pPr>
            <w:r/>
            <w:r>
              <w:rPr>
                <w:rFonts w:ascii="Arial" w:hAnsi="Arial"/>
                <w:b/>
                <w:color w:val="FFFFFF"/>
                <w:sz w:val="17"/>
              </w:rPr>
              <w:t>Complications avoided</w:t>
            </w:r>
          </w:p>
        </w:tc>
        <w:tc>
          <w:tcPr>
            <w:tcW w:type="dxa" w:w="900"/>
            <w:shd w:val="clear" w:color="auto" w:fill="1F3864"/>
          </w:tcPr>
          <w:p>
            <w:pPr>
              <w:spacing w:after="0" w:before="0"/>
            </w:pPr>
            <w:r/>
            <w:r>
              <w:rPr>
                <w:rFonts w:ascii="Arial" w:hAnsi="Arial"/>
                <w:b/>
                <w:color w:val="FFFFFF"/>
                <w:sz w:val="17"/>
              </w:rPr>
              <w:t>Returns to theatre avoided</w:t>
            </w:r>
          </w:p>
        </w:tc>
        <w:tc>
          <w:tcPr>
            <w:tcW w:type="dxa" w:w="900"/>
            <w:shd w:val="clear" w:color="auto" w:fill="1F3864"/>
          </w:tcPr>
          <w:p>
            <w:pPr>
              <w:spacing w:after="0" w:before="0"/>
            </w:pPr>
            <w:r/>
            <w:r>
              <w:rPr>
                <w:rFonts w:ascii="Arial" w:hAnsi="Arial"/>
                <w:b/>
                <w:color w:val="FFFFFF"/>
                <w:sz w:val="17"/>
              </w:rPr>
              <w:t>Readmissions avoided</w:t>
            </w:r>
          </w:p>
        </w:tc>
        <w:tc>
          <w:tcPr>
            <w:tcW w:type="dxa" w:w="676"/>
            <w:shd w:val="clear" w:color="auto" w:fill="1F3864"/>
          </w:tcPr>
          <w:p>
            <w:pPr>
              <w:spacing w:after="0" w:before="0"/>
            </w:pPr>
            <w:r/>
            <w:r>
              <w:rPr>
                <w:rFonts w:ascii="Arial" w:hAnsi="Arial"/>
                <w:b/>
                <w:color w:val="FFFFFF"/>
                <w:sz w:val="17"/>
              </w:rPr>
              <w:t>Extra minutes</w:t>
            </w:r>
          </w:p>
        </w:tc>
      </w:tr>
      <w:tr>
        <w:tc>
          <w:tcPr>
            <w:tcW w:type="dxa" w:w="2000"/>
          </w:tcPr>
          <w:p>
            <w:pPr>
              <w:spacing w:after="0" w:before="0"/>
            </w:pPr>
            <w:r>
              <w:rPr>
                <w:rFonts w:ascii="Arial" w:hAnsi="Arial"/>
                <w:b w:val="0"/>
                <w:sz w:val="17"/>
              </w:rPr>
              <w:t>Colorectal major resection (colon and rectum)</w:t>
            </w:r>
          </w:p>
        </w:tc>
        <w:tc>
          <w:tcPr>
            <w:tcW w:type="dxa" w:w="1300"/>
          </w:tcPr>
          <w:p>
            <w:pPr>
              <w:spacing w:after="0" w:before="0"/>
            </w:pPr>
            <w:r>
              <w:rPr>
                <w:rFonts w:ascii="Arial" w:hAnsi="Arial"/>
                <w:b w:val="0"/>
                <w:sz w:val="17"/>
              </w:rPr>
              <w:t>Open</w:t>
            </w:r>
          </w:p>
        </w:tc>
        <w:tc>
          <w:tcPr>
            <w:tcW w:type="dxa" w:w="650"/>
          </w:tcPr>
          <w:p>
            <w:pPr>
              <w:spacing w:after="0" w:before="0"/>
            </w:pPr>
            <w:r>
              <w:rPr>
                <w:rFonts w:ascii="Arial" w:hAnsi="Arial"/>
                <w:b w:val="0"/>
                <w:sz w:val="17"/>
              </w:rPr>
              <w:t>10%</w:t>
            </w:r>
          </w:p>
        </w:tc>
        <w:tc>
          <w:tcPr>
            <w:tcW w:type="dxa" w:w="800"/>
          </w:tcPr>
          <w:p>
            <w:pPr>
              <w:spacing w:after="0" w:before="0"/>
            </w:pPr>
            <w:r>
              <w:rPr>
                <w:rFonts w:ascii="Arial" w:hAnsi="Arial"/>
                <w:b w:val="0"/>
                <w:sz w:val="17"/>
              </w:rPr>
              <w:t>2</w:t>
            </w:r>
          </w:p>
        </w:tc>
        <w:tc>
          <w:tcPr>
            <w:tcW w:type="dxa" w:w="850"/>
          </w:tcPr>
          <w:p>
            <w:pPr>
              <w:spacing w:after="0" w:before="0"/>
            </w:pPr>
            <w:r>
              <w:rPr>
                <w:rFonts w:ascii="Arial" w:hAnsi="Arial"/>
                <w:b w:val="0"/>
                <w:sz w:val="17"/>
              </w:rPr>
              <w:t>0.0%</w:t>
            </w:r>
          </w:p>
        </w:tc>
        <w:tc>
          <w:tcPr>
            <w:tcW w:type="dxa" w:w="950"/>
          </w:tcPr>
          <w:p>
            <w:pPr>
              <w:spacing w:after="0" w:before="0"/>
            </w:pPr>
            <w:r>
              <w:rPr>
                <w:rFonts w:ascii="Arial" w:hAnsi="Arial"/>
                <w:b w:val="0"/>
                <w:sz w:val="17"/>
              </w:rPr>
              <w:t>4.0%</w:t>
            </w:r>
          </w:p>
        </w:tc>
        <w:tc>
          <w:tcPr>
            <w:tcW w:type="dxa" w:w="900"/>
          </w:tcPr>
          <w:p>
            <w:pPr>
              <w:spacing w:after="0" w:before="0"/>
            </w:pPr>
            <w:r>
              <w:rPr>
                <w:rFonts w:ascii="Arial" w:hAnsi="Arial"/>
                <w:b w:val="0"/>
                <w:sz w:val="17"/>
              </w:rPr>
              <w:t>2.0%</w:t>
            </w:r>
          </w:p>
        </w:tc>
        <w:tc>
          <w:tcPr>
            <w:tcW w:type="dxa" w:w="900"/>
          </w:tcPr>
          <w:p>
            <w:pPr>
              <w:spacing w:after="0" w:before="0"/>
            </w:pPr>
            <w:r>
              <w:rPr>
                <w:rFonts w:ascii="Arial" w:hAnsi="Arial"/>
                <w:b w:val="0"/>
                <w:sz w:val="17"/>
              </w:rPr>
              <w:t>1.0%</w:t>
            </w:r>
          </w:p>
        </w:tc>
        <w:tc>
          <w:tcPr>
            <w:tcW w:type="dxa" w:w="676"/>
          </w:tcPr>
          <w:p>
            <w:pPr>
              <w:spacing w:after="0" w:before="0"/>
            </w:pPr>
            <w:r>
              <w:rPr>
                <w:rFonts w:ascii="Arial" w:hAnsi="Arial"/>
                <w:b w:val="0"/>
                <w:sz w:val="17"/>
              </w:rPr>
              <w:t>30</w:t>
            </w:r>
          </w:p>
        </w:tc>
      </w:tr>
      <w:tr>
        <w:tc>
          <w:tcPr>
            <w:tcW w:type="dxa" w:w="2000"/>
            <w:shd w:val="clear" w:color="auto" w:fill="F2F2F2"/>
          </w:tcPr>
          <w:p>
            <w:pPr>
              <w:spacing w:after="0" w:before="0"/>
            </w:pPr>
            <w:r>
              <w:rPr>
                <w:rFonts w:ascii="Arial" w:hAnsi="Arial"/>
                <w:b w:val="0"/>
                <w:sz w:val="17"/>
              </w:rPr>
              <w:t>Colorectal major resection (colon and rectum)</w:t>
            </w:r>
          </w:p>
        </w:tc>
        <w:tc>
          <w:tcPr>
            <w:tcW w:type="dxa" w:w="1300"/>
            <w:shd w:val="clear" w:color="auto" w:fill="F2F2F2"/>
          </w:tcPr>
          <w:p>
            <w:pPr>
              <w:spacing w:after="0" w:before="0"/>
            </w:pPr>
            <w:r>
              <w:rPr>
                <w:rFonts w:ascii="Arial" w:hAnsi="Arial"/>
                <w:b w:val="0"/>
                <w:sz w:val="17"/>
              </w:rPr>
              <w:t>Conventional minimal access</w:t>
            </w:r>
          </w:p>
        </w:tc>
        <w:tc>
          <w:tcPr>
            <w:tcW w:type="dxa" w:w="650"/>
            <w:shd w:val="clear" w:color="auto" w:fill="F2F2F2"/>
          </w:tcPr>
          <w:p>
            <w:pPr>
              <w:spacing w:after="0" w:before="0"/>
            </w:pPr>
            <w:r>
              <w:rPr>
                <w:rFonts w:ascii="Arial" w:hAnsi="Arial"/>
                <w:b w:val="0"/>
                <w:sz w:val="17"/>
              </w:rPr>
              <w:t>90%</w:t>
            </w:r>
          </w:p>
        </w:tc>
        <w:tc>
          <w:tcPr>
            <w:tcW w:type="dxa" w:w="800"/>
            <w:shd w:val="clear" w:color="auto" w:fill="F2F2F2"/>
          </w:tcPr>
          <w:p>
            <w:pPr>
              <w:spacing w:after="0" w:before="0"/>
            </w:pPr>
            <w:r>
              <w:rPr>
                <w:rFonts w:ascii="Arial" w:hAnsi="Arial"/>
                <w:b w:val="0"/>
                <w:sz w:val="17"/>
              </w:rPr>
              <w:t>0.5</w:t>
            </w:r>
          </w:p>
        </w:tc>
        <w:tc>
          <w:tcPr>
            <w:tcW w:type="dxa" w:w="850"/>
            <w:shd w:val="clear" w:color="auto" w:fill="F2F2F2"/>
          </w:tcPr>
          <w:p>
            <w:pPr>
              <w:spacing w:after="0" w:before="0"/>
            </w:pPr>
            <w:r>
              <w:rPr>
                <w:rFonts w:ascii="Arial" w:hAnsi="Arial"/>
                <w:b w:val="0"/>
                <w:sz w:val="17"/>
              </w:rPr>
              <w:t>5.0%</w:t>
            </w:r>
          </w:p>
        </w:tc>
        <w:tc>
          <w:tcPr>
            <w:tcW w:type="dxa" w:w="950"/>
            <w:shd w:val="clear" w:color="auto" w:fill="F2F2F2"/>
          </w:tcPr>
          <w:p>
            <w:pPr>
              <w:spacing w:after="0" w:before="0"/>
            </w:pPr>
            <w:r>
              <w:rPr>
                <w:rFonts w:ascii="Arial" w:hAnsi="Arial"/>
                <w:b w:val="0"/>
                <w:sz w:val="17"/>
              </w:rPr>
              <w:t>0.5%</w:t>
            </w:r>
          </w:p>
        </w:tc>
        <w:tc>
          <w:tcPr>
            <w:tcW w:type="dxa" w:w="900"/>
            <w:shd w:val="clear" w:color="auto" w:fill="F2F2F2"/>
          </w:tcPr>
          <w:p>
            <w:pPr>
              <w:spacing w:after="0" w:before="0"/>
            </w:pPr>
            <w:r>
              <w:rPr>
                <w:rFonts w:ascii="Arial" w:hAnsi="Arial"/>
                <w:b w:val="0"/>
                <w:sz w:val="17"/>
              </w:rPr>
              <w:t>0.5%</w:t>
            </w:r>
          </w:p>
        </w:tc>
        <w:tc>
          <w:tcPr>
            <w:tcW w:type="dxa" w:w="900"/>
            <w:shd w:val="clear" w:color="auto" w:fill="F2F2F2"/>
          </w:tcPr>
          <w:p>
            <w:pPr>
              <w:spacing w:after="0" w:before="0"/>
            </w:pPr>
            <w:r>
              <w:rPr>
                <w:rFonts w:ascii="Arial" w:hAnsi="Arial"/>
                <w:b w:val="0"/>
                <w:sz w:val="17"/>
              </w:rPr>
              <w:t>0.0%</w:t>
            </w:r>
          </w:p>
        </w:tc>
        <w:tc>
          <w:tcPr>
            <w:tcW w:type="dxa" w:w="676"/>
            <w:shd w:val="clear" w:color="auto" w:fill="F2F2F2"/>
          </w:tcPr>
          <w:p>
            <w:pPr>
              <w:spacing w:after="0" w:before="0"/>
            </w:pPr>
            <w:r>
              <w:rPr>
                <w:rFonts w:ascii="Arial" w:hAnsi="Arial"/>
                <w:b w:val="0"/>
                <w:sz w:val="17"/>
              </w:rPr>
              <w:t>20</w:t>
            </w:r>
          </w:p>
        </w:tc>
      </w:tr>
      <w:tr>
        <w:tc>
          <w:tcPr>
            <w:tcW w:type="dxa" w:w="2000"/>
          </w:tcPr>
          <w:p>
            <w:pPr>
              <w:spacing w:after="0" w:before="0"/>
            </w:pPr>
            <w:r>
              <w:rPr>
                <w:rFonts w:ascii="Arial" w:hAnsi="Arial"/>
                <w:b w:val="0"/>
                <w:sz w:val="17"/>
              </w:rPr>
              <w:t>Nephrectomy and partial nephrectomy</w:t>
            </w:r>
          </w:p>
        </w:tc>
        <w:tc>
          <w:tcPr>
            <w:tcW w:type="dxa" w:w="1300"/>
          </w:tcPr>
          <w:p>
            <w:pPr>
              <w:spacing w:after="0" w:before="0"/>
            </w:pPr>
            <w:r>
              <w:rPr>
                <w:rFonts w:ascii="Arial" w:hAnsi="Arial"/>
                <w:b w:val="0"/>
                <w:sz w:val="17"/>
              </w:rPr>
              <w:t>Open</w:t>
            </w:r>
          </w:p>
        </w:tc>
        <w:tc>
          <w:tcPr>
            <w:tcW w:type="dxa" w:w="650"/>
          </w:tcPr>
          <w:p>
            <w:pPr>
              <w:spacing w:after="0" w:before="0"/>
            </w:pPr>
            <w:r>
              <w:rPr>
                <w:rFonts w:ascii="Arial" w:hAnsi="Arial"/>
                <w:b w:val="0"/>
                <w:sz w:val="17"/>
              </w:rPr>
              <w:t>30%</w:t>
            </w:r>
          </w:p>
        </w:tc>
        <w:tc>
          <w:tcPr>
            <w:tcW w:type="dxa" w:w="800"/>
          </w:tcPr>
          <w:p>
            <w:pPr>
              <w:spacing w:after="0" w:before="0"/>
            </w:pPr>
            <w:r>
              <w:rPr>
                <w:rFonts w:ascii="Arial" w:hAnsi="Arial"/>
                <w:b w:val="0"/>
                <w:sz w:val="17"/>
              </w:rPr>
              <w:t>2</w:t>
            </w:r>
          </w:p>
        </w:tc>
        <w:tc>
          <w:tcPr>
            <w:tcW w:type="dxa" w:w="850"/>
          </w:tcPr>
          <w:p>
            <w:pPr>
              <w:spacing w:after="0" w:before="0"/>
            </w:pPr>
            <w:r>
              <w:rPr>
                <w:rFonts w:ascii="Arial" w:hAnsi="Arial"/>
                <w:b w:val="0"/>
                <w:sz w:val="17"/>
              </w:rPr>
              <w:t>0.0%</w:t>
            </w:r>
          </w:p>
        </w:tc>
        <w:tc>
          <w:tcPr>
            <w:tcW w:type="dxa" w:w="950"/>
          </w:tcPr>
          <w:p>
            <w:pPr>
              <w:spacing w:after="0" w:before="0"/>
            </w:pPr>
            <w:r>
              <w:rPr>
                <w:rFonts w:ascii="Arial" w:hAnsi="Arial"/>
                <w:b w:val="0"/>
                <w:sz w:val="17"/>
              </w:rPr>
              <w:t>3.0%</w:t>
            </w:r>
          </w:p>
        </w:tc>
        <w:tc>
          <w:tcPr>
            <w:tcW w:type="dxa" w:w="900"/>
          </w:tcPr>
          <w:p>
            <w:pPr>
              <w:spacing w:after="0" w:before="0"/>
            </w:pPr>
            <w:r>
              <w:rPr>
                <w:rFonts w:ascii="Arial" w:hAnsi="Arial"/>
                <w:b w:val="0"/>
                <w:sz w:val="17"/>
              </w:rPr>
              <w:t>0.5%</w:t>
            </w:r>
          </w:p>
        </w:tc>
        <w:tc>
          <w:tcPr>
            <w:tcW w:type="dxa" w:w="900"/>
          </w:tcPr>
          <w:p>
            <w:pPr>
              <w:spacing w:after="0" w:before="0"/>
            </w:pPr>
            <w:r>
              <w:rPr>
                <w:rFonts w:ascii="Arial" w:hAnsi="Arial"/>
                <w:b w:val="0"/>
                <w:sz w:val="17"/>
              </w:rPr>
              <w:t>0.5%</w:t>
            </w:r>
          </w:p>
        </w:tc>
        <w:tc>
          <w:tcPr>
            <w:tcW w:type="dxa" w:w="676"/>
          </w:tcPr>
          <w:p>
            <w:pPr>
              <w:spacing w:after="0" w:before="0"/>
            </w:pPr>
            <w:r>
              <w:rPr>
                <w:rFonts w:ascii="Arial" w:hAnsi="Arial"/>
                <w:b w:val="0"/>
                <w:sz w:val="17"/>
              </w:rPr>
              <w:t>20</w:t>
            </w:r>
          </w:p>
        </w:tc>
      </w:tr>
      <w:tr>
        <w:tc>
          <w:tcPr>
            <w:tcW w:type="dxa" w:w="2000"/>
            <w:shd w:val="clear" w:color="auto" w:fill="F2F2F2"/>
          </w:tcPr>
          <w:p>
            <w:pPr>
              <w:spacing w:after="0" w:before="0"/>
            </w:pPr>
            <w:r>
              <w:rPr>
                <w:rFonts w:ascii="Arial" w:hAnsi="Arial"/>
                <w:b w:val="0"/>
                <w:sz w:val="17"/>
              </w:rPr>
              <w:t>Nephrectomy and partial nephrectomy</w:t>
            </w:r>
          </w:p>
        </w:tc>
        <w:tc>
          <w:tcPr>
            <w:tcW w:type="dxa" w:w="1300"/>
            <w:shd w:val="clear" w:color="auto" w:fill="F2F2F2"/>
          </w:tcPr>
          <w:p>
            <w:pPr>
              <w:spacing w:after="0" w:before="0"/>
            </w:pPr>
            <w:r>
              <w:rPr>
                <w:rFonts w:ascii="Arial" w:hAnsi="Arial"/>
                <w:b w:val="0"/>
                <w:sz w:val="17"/>
              </w:rPr>
              <w:t>Conventional minimal access</w:t>
            </w:r>
          </w:p>
        </w:tc>
        <w:tc>
          <w:tcPr>
            <w:tcW w:type="dxa" w:w="650"/>
            <w:shd w:val="clear" w:color="auto" w:fill="F2F2F2"/>
          </w:tcPr>
          <w:p>
            <w:pPr>
              <w:spacing w:after="0" w:before="0"/>
            </w:pPr>
            <w:r>
              <w:rPr>
                <w:rFonts w:ascii="Arial" w:hAnsi="Arial"/>
                <w:b w:val="0"/>
                <w:sz w:val="17"/>
              </w:rPr>
              <w:t>70%</w:t>
            </w:r>
          </w:p>
        </w:tc>
        <w:tc>
          <w:tcPr>
            <w:tcW w:type="dxa" w:w="800"/>
            <w:shd w:val="clear" w:color="auto" w:fill="F2F2F2"/>
          </w:tcPr>
          <w:p>
            <w:pPr>
              <w:spacing w:after="0" w:before="0"/>
            </w:pPr>
            <w:r>
              <w:rPr>
                <w:rFonts w:ascii="Arial" w:hAnsi="Arial"/>
                <w:b w:val="0"/>
                <w:sz w:val="17"/>
              </w:rPr>
              <w:t>0.3</w:t>
            </w:r>
          </w:p>
        </w:tc>
        <w:tc>
          <w:tcPr>
            <w:tcW w:type="dxa" w:w="850"/>
            <w:shd w:val="clear" w:color="auto" w:fill="F2F2F2"/>
          </w:tcPr>
          <w:p>
            <w:pPr>
              <w:spacing w:after="0" w:before="0"/>
            </w:pPr>
            <w:r>
              <w:rPr>
                <w:rFonts w:ascii="Arial" w:hAnsi="Arial"/>
                <w:b w:val="0"/>
                <w:sz w:val="17"/>
              </w:rPr>
              <w:t>3.0%</w:t>
            </w:r>
          </w:p>
        </w:tc>
        <w:tc>
          <w:tcPr>
            <w:tcW w:type="dxa" w:w="950"/>
            <w:shd w:val="clear" w:color="auto" w:fill="F2F2F2"/>
          </w:tcPr>
          <w:p>
            <w:pPr>
              <w:spacing w:after="0" w:before="0"/>
            </w:pPr>
            <w:r>
              <w:rPr>
                <w:rFonts w:ascii="Arial" w:hAnsi="Arial"/>
                <w:b w:val="0"/>
                <w:sz w:val="17"/>
              </w:rPr>
              <w:t>0.5%</w:t>
            </w:r>
          </w:p>
        </w:tc>
        <w:tc>
          <w:tcPr>
            <w:tcW w:type="dxa" w:w="900"/>
            <w:shd w:val="clear" w:color="auto" w:fill="F2F2F2"/>
          </w:tcPr>
          <w:p>
            <w:pPr>
              <w:spacing w:after="0" w:before="0"/>
            </w:pPr>
            <w:r>
              <w:rPr>
                <w:rFonts w:ascii="Arial" w:hAnsi="Arial"/>
                <w:b w:val="0"/>
                <w:sz w:val="17"/>
              </w:rPr>
              <w:t>0.0%</w:t>
            </w:r>
          </w:p>
        </w:tc>
        <w:tc>
          <w:tcPr>
            <w:tcW w:type="dxa" w:w="900"/>
            <w:shd w:val="clear" w:color="auto" w:fill="F2F2F2"/>
          </w:tcPr>
          <w:p>
            <w:pPr>
              <w:spacing w:after="0" w:before="0"/>
            </w:pPr>
            <w:r>
              <w:rPr>
                <w:rFonts w:ascii="Arial" w:hAnsi="Arial"/>
                <w:b w:val="0"/>
                <w:sz w:val="17"/>
              </w:rPr>
              <w:t>0.0%</w:t>
            </w:r>
          </w:p>
        </w:tc>
        <w:tc>
          <w:tcPr>
            <w:tcW w:type="dxa" w:w="676"/>
            <w:shd w:val="clear" w:color="auto" w:fill="F2F2F2"/>
          </w:tcPr>
          <w:p>
            <w:pPr>
              <w:spacing w:after="0" w:before="0"/>
            </w:pPr>
            <w:r>
              <w:rPr>
                <w:rFonts w:ascii="Arial" w:hAnsi="Arial"/>
                <w:b w:val="0"/>
                <w:sz w:val="17"/>
              </w:rPr>
              <w:t>15</w:t>
            </w:r>
          </w:p>
        </w:tc>
      </w:tr>
      <w:tr>
        <w:tc>
          <w:tcPr>
            <w:tcW w:type="dxa" w:w="2000"/>
          </w:tcPr>
          <w:p>
            <w:pPr>
              <w:spacing w:after="0" w:before="0"/>
            </w:pPr>
            <w:r>
              <w:rPr>
                <w:rFonts w:ascii="Arial" w:hAnsi="Arial"/>
                <w:b w:val="0"/>
                <w:sz w:val="17"/>
              </w:rPr>
              <w:t>Hysterectomy (benign and malignant)</w:t>
            </w:r>
          </w:p>
        </w:tc>
        <w:tc>
          <w:tcPr>
            <w:tcW w:type="dxa" w:w="1300"/>
          </w:tcPr>
          <w:p>
            <w:pPr>
              <w:spacing w:after="0" w:before="0"/>
            </w:pPr>
            <w:r>
              <w:rPr>
                <w:rFonts w:ascii="Arial" w:hAnsi="Arial"/>
                <w:b w:val="0"/>
                <w:sz w:val="17"/>
              </w:rPr>
              <w:t>Open</w:t>
            </w:r>
          </w:p>
        </w:tc>
        <w:tc>
          <w:tcPr>
            <w:tcW w:type="dxa" w:w="650"/>
          </w:tcPr>
          <w:p>
            <w:pPr>
              <w:spacing w:after="0" w:before="0"/>
            </w:pPr>
            <w:r>
              <w:rPr>
                <w:rFonts w:ascii="Arial" w:hAnsi="Arial"/>
                <w:b w:val="0"/>
                <w:sz w:val="17"/>
              </w:rPr>
              <w:t>50%</w:t>
            </w:r>
          </w:p>
        </w:tc>
        <w:tc>
          <w:tcPr>
            <w:tcW w:type="dxa" w:w="800"/>
          </w:tcPr>
          <w:p>
            <w:pPr>
              <w:spacing w:after="0" w:before="0"/>
            </w:pPr>
            <w:r>
              <w:rPr>
                <w:rFonts w:ascii="Arial" w:hAnsi="Arial"/>
                <w:b w:val="0"/>
                <w:sz w:val="17"/>
              </w:rPr>
              <w:t>1.5</w:t>
            </w:r>
          </w:p>
        </w:tc>
        <w:tc>
          <w:tcPr>
            <w:tcW w:type="dxa" w:w="850"/>
          </w:tcPr>
          <w:p>
            <w:pPr>
              <w:spacing w:after="0" w:before="0"/>
            </w:pPr>
            <w:r>
              <w:rPr>
                <w:rFonts w:ascii="Arial" w:hAnsi="Arial"/>
                <w:b w:val="0"/>
                <w:sz w:val="17"/>
              </w:rPr>
              <w:t>0.0%</w:t>
            </w:r>
          </w:p>
        </w:tc>
        <w:tc>
          <w:tcPr>
            <w:tcW w:type="dxa" w:w="950"/>
          </w:tcPr>
          <w:p>
            <w:pPr>
              <w:spacing w:after="0" w:before="0"/>
            </w:pPr>
            <w:r>
              <w:rPr>
                <w:rFonts w:ascii="Arial" w:hAnsi="Arial"/>
                <w:b w:val="0"/>
                <w:sz w:val="17"/>
              </w:rPr>
              <w:t>3.0%</w:t>
            </w:r>
          </w:p>
        </w:tc>
        <w:tc>
          <w:tcPr>
            <w:tcW w:type="dxa" w:w="900"/>
          </w:tcPr>
          <w:p>
            <w:pPr>
              <w:spacing w:after="0" w:before="0"/>
            </w:pPr>
            <w:r>
              <w:rPr>
                <w:rFonts w:ascii="Arial" w:hAnsi="Arial"/>
                <w:b w:val="0"/>
                <w:sz w:val="17"/>
              </w:rPr>
              <w:t>0.5%</w:t>
            </w:r>
          </w:p>
        </w:tc>
        <w:tc>
          <w:tcPr>
            <w:tcW w:type="dxa" w:w="900"/>
          </w:tcPr>
          <w:p>
            <w:pPr>
              <w:spacing w:after="0" w:before="0"/>
            </w:pPr>
            <w:r>
              <w:rPr>
                <w:rFonts w:ascii="Arial" w:hAnsi="Arial"/>
                <w:b w:val="0"/>
                <w:sz w:val="17"/>
              </w:rPr>
              <w:t>0.5%</w:t>
            </w:r>
          </w:p>
        </w:tc>
        <w:tc>
          <w:tcPr>
            <w:tcW w:type="dxa" w:w="676"/>
          </w:tcPr>
          <w:p>
            <w:pPr>
              <w:spacing w:after="0" w:before="0"/>
            </w:pPr>
            <w:r>
              <w:rPr>
                <w:rFonts w:ascii="Arial" w:hAnsi="Arial"/>
                <w:b w:val="0"/>
                <w:sz w:val="17"/>
              </w:rPr>
              <w:t>20</w:t>
            </w:r>
          </w:p>
        </w:tc>
      </w:tr>
      <w:tr>
        <w:tc>
          <w:tcPr>
            <w:tcW w:type="dxa" w:w="2000"/>
            <w:shd w:val="clear" w:color="auto" w:fill="F2F2F2"/>
          </w:tcPr>
          <w:p>
            <w:pPr>
              <w:spacing w:after="0" w:before="0"/>
            </w:pPr>
            <w:r>
              <w:rPr>
                <w:rFonts w:ascii="Arial" w:hAnsi="Arial"/>
                <w:b w:val="0"/>
                <w:sz w:val="17"/>
              </w:rPr>
              <w:t>Hysterectomy (benign and malignant)</w:t>
            </w:r>
          </w:p>
        </w:tc>
        <w:tc>
          <w:tcPr>
            <w:tcW w:type="dxa" w:w="1300"/>
            <w:shd w:val="clear" w:color="auto" w:fill="F2F2F2"/>
          </w:tcPr>
          <w:p>
            <w:pPr>
              <w:spacing w:after="0" w:before="0"/>
            </w:pPr>
            <w:r>
              <w:rPr>
                <w:rFonts w:ascii="Arial" w:hAnsi="Arial"/>
                <w:b w:val="0"/>
                <w:sz w:val="17"/>
              </w:rPr>
              <w:t>Conventional minimal access</w:t>
            </w:r>
          </w:p>
        </w:tc>
        <w:tc>
          <w:tcPr>
            <w:tcW w:type="dxa" w:w="650"/>
            <w:shd w:val="clear" w:color="auto" w:fill="F2F2F2"/>
          </w:tcPr>
          <w:p>
            <w:pPr>
              <w:spacing w:after="0" w:before="0"/>
            </w:pPr>
            <w:r>
              <w:rPr>
                <w:rFonts w:ascii="Arial" w:hAnsi="Arial"/>
                <w:b w:val="0"/>
                <w:sz w:val="17"/>
              </w:rPr>
              <w:t>50%</w:t>
            </w:r>
          </w:p>
        </w:tc>
        <w:tc>
          <w:tcPr>
            <w:tcW w:type="dxa" w:w="800"/>
            <w:shd w:val="clear" w:color="auto" w:fill="F2F2F2"/>
          </w:tcPr>
          <w:p>
            <w:pPr>
              <w:spacing w:after="0" w:before="0"/>
            </w:pPr>
            <w:r>
              <w:rPr>
                <w:rFonts w:ascii="Arial" w:hAnsi="Arial"/>
                <w:b w:val="0"/>
                <w:sz w:val="17"/>
              </w:rPr>
              <w:t>0.2</w:t>
            </w:r>
          </w:p>
        </w:tc>
        <w:tc>
          <w:tcPr>
            <w:tcW w:type="dxa" w:w="850"/>
            <w:shd w:val="clear" w:color="auto" w:fill="F2F2F2"/>
          </w:tcPr>
          <w:p>
            <w:pPr>
              <w:spacing w:after="0" w:before="0"/>
            </w:pPr>
            <w:r>
              <w:rPr>
                <w:rFonts w:ascii="Arial" w:hAnsi="Arial"/>
                <w:b w:val="0"/>
                <w:sz w:val="17"/>
              </w:rPr>
              <w:t>3.0%</w:t>
            </w:r>
          </w:p>
        </w:tc>
        <w:tc>
          <w:tcPr>
            <w:tcW w:type="dxa" w:w="950"/>
            <w:shd w:val="clear" w:color="auto" w:fill="F2F2F2"/>
          </w:tcPr>
          <w:p>
            <w:pPr>
              <w:spacing w:after="0" w:before="0"/>
            </w:pPr>
            <w:r>
              <w:rPr>
                <w:rFonts w:ascii="Arial" w:hAnsi="Arial"/>
                <w:b w:val="0"/>
                <w:sz w:val="17"/>
              </w:rPr>
              <w:t>0.5%</w:t>
            </w:r>
          </w:p>
        </w:tc>
        <w:tc>
          <w:tcPr>
            <w:tcW w:type="dxa" w:w="900"/>
            <w:shd w:val="clear" w:color="auto" w:fill="F2F2F2"/>
          </w:tcPr>
          <w:p>
            <w:pPr>
              <w:spacing w:after="0" w:before="0"/>
            </w:pPr>
            <w:r>
              <w:rPr>
                <w:rFonts w:ascii="Arial" w:hAnsi="Arial"/>
                <w:b w:val="0"/>
                <w:sz w:val="17"/>
              </w:rPr>
              <w:t>0.0%</w:t>
            </w:r>
          </w:p>
        </w:tc>
        <w:tc>
          <w:tcPr>
            <w:tcW w:type="dxa" w:w="900"/>
            <w:shd w:val="clear" w:color="auto" w:fill="F2F2F2"/>
          </w:tcPr>
          <w:p>
            <w:pPr>
              <w:spacing w:after="0" w:before="0"/>
            </w:pPr>
            <w:r>
              <w:rPr>
                <w:rFonts w:ascii="Arial" w:hAnsi="Arial"/>
                <w:b w:val="0"/>
                <w:sz w:val="17"/>
              </w:rPr>
              <w:t>0.0%</w:t>
            </w:r>
          </w:p>
        </w:tc>
        <w:tc>
          <w:tcPr>
            <w:tcW w:type="dxa" w:w="676"/>
            <w:shd w:val="clear" w:color="auto" w:fill="F2F2F2"/>
          </w:tcPr>
          <w:p>
            <w:pPr>
              <w:spacing w:after="0" w:before="0"/>
            </w:pPr>
            <w:r>
              <w:rPr>
                <w:rFonts w:ascii="Arial" w:hAnsi="Arial"/>
                <w:b w:val="0"/>
                <w:sz w:val="17"/>
              </w:rPr>
              <w:t>20</w:t>
            </w:r>
          </w:p>
        </w:tc>
      </w:tr>
      <w:tr>
        <w:tc>
          <w:tcPr>
            <w:tcW w:type="dxa" w:w="2000"/>
          </w:tcPr>
          <w:p>
            <w:pPr>
              <w:spacing w:after="0" w:before="0"/>
            </w:pPr>
            <w:r>
              <w:rPr>
                <w:rFonts w:ascii="Arial" w:hAnsi="Arial"/>
                <w:b w:val="0"/>
                <w:sz w:val="17"/>
              </w:rPr>
              <w:t>Myomectomy</w:t>
            </w:r>
          </w:p>
        </w:tc>
        <w:tc>
          <w:tcPr>
            <w:tcW w:type="dxa" w:w="1300"/>
          </w:tcPr>
          <w:p>
            <w:pPr>
              <w:spacing w:after="0" w:before="0"/>
            </w:pPr>
            <w:r>
              <w:rPr>
                <w:rFonts w:ascii="Arial" w:hAnsi="Arial"/>
                <w:b w:val="0"/>
                <w:sz w:val="17"/>
              </w:rPr>
              <w:t>Open</w:t>
            </w:r>
          </w:p>
        </w:tc>
        <w:tc>
          <w:tcPr>
            <w:tcW w:type="dxa" w:w="650"/>
          </w:tcPr>
          <w:p>
            <w:pPr>
              <w:spacing w:after="0" w:before="0"/>
            </w:pPr>
            <w:r>
              <w:rPr>
                <w:rFonts w:ascii="Arial" w:hAnsi="Arial"/>
                <w:b w:val="0"/>
                <w:sz w:val="17"/>
              </w:rPr>
              <w:t>80%</w:t>
            </w:r>
          </w:p>
        </w:tc>
        <w:tc>
          <w:tcPr>
            <w:tcW w:type="dxa" w:w="800"/>
          </w:tcPr>
          <w:p>
            <w:pPr>
              <w:spacing w:after="0" w:before="0"/>
            </w:pPr>
            <w:r>
              <w:rPr>
                <w:rFonts w:ascii="Arial" w:hAnsi="Arial"/>
                <w:b w:val="0"/>
                <w:sz w:val="17"/>
              </w:rPr>
              <w:t>1.5</w:t>
            </w:r>
          </w:p>
        </w:tc>
        <w:tc>
          <w:tcPr>
            <w:tcW w:type="dxa" w:w="850"/>
          </w:tcPr>
          <w:p>
            <w:pPr>
              <w:spacing w:after="0" w:before="0"/>
            </w:pPr>
            <w:r>
              <w:rPr>
                <w:rFonts w:ascii="Arial" w:hAnsi="Arial"/>
                <w:b w:val="0"/>
                <w:sz w:val="17"/>
              </w:rPr>
              <w:t>0.0%</w:t>
            </w:r>
          </w:p>
        </w:tc>
        <w:tc>
          <w:tcPr>
            <w:tcW w:type="dxa" w:w="950"/>
          </w:tcPr>
          <w:p>
            <w:pPr>
              <w:spacing w:after="0" w:before="0"/>
            </w:pPr>
            <w:r>
              <w:rPr>
                <w:rFonts w:ascii="Arial" w:hAnsi="Arial"/>
                <w:b w:val="0"/>
                <w:sz w:val="17"/>
              </w:rPr>
              <w:t>3.0%</w:t>
            </w:r>
          </w:p>
        </w:tc>
        <w:tc>
          <w:tcPr>
            <w:tcW w:type="dxa" w:w="900"/>
          </w:tcPr>
          <w:p>
            <w:pPr>
              <w:spacing w:after="0" w:before="0"/>
            </w:pPr>
            <w:r>
              <w:rPr>
                <w:rFonts w:ascii="Arial" w:hAnsi="Arial"/>
                <w:b w:val="0"/>
                <w:sz w:val="17"/>
              </w:rPr>
              <w:t>0.0%</w:t>
            </w:r>
          </w:p>
        </w:tc>
        <w:tc>
          <w:tcPr>
            <w:tcW w:type="dxa" w:w="900"/>
          </w:tcPr>
          <w:p>
            <w:pPr>
              <w:spacing w:after="0" w:before="0"/>
            </w:pPr>
            <w:r>
              <w:rPr>
                <w:rFonts w:ascii="Arial" w:hAnsi="Arial"/>
                <w:b w:val="0"/>
                <w:sz w:val="17"/>
              </w:rPr>
              <w:t>0.5%</w:t>
            </w:r>
          </w:p>
        </w:tc>
        <w:tc>
          <w:tcPr>
            <w:tcW w:type="dxa" w:w="676"/>
          </w:tcPr>
          <w:p>
            <w:pPr>
              <w:spacing w:after="0" w:before="0"/>
            </w:pPr>
            <w:r>
              <w:rPr>
                <w:rFonts w:ascii="Arial" w:hAnsi="Arial"/>
                <w:b w:val="0"/>
                <w:sz w:val="17"/>
              </w:rPr>
              <w:t>30</w:t>
            </w:r>
          </w:p>
        </w:tc>
      </w:tr>
      <w:tr>
        <w:tc>
          <w:tcPr>
            <w:tcW w:type="dxa" w:w="2000"/>
            <w:shd w:val="clear" w:color="auto" w:fill="F2F2F2"/>
          </w:tcPr>
          <w:p>
            <w:pPr>
              <w:spacing w:after="0" w:before="0"/>
            </w:pPr>
            <w:r>
              <w:rPr>
                <w:rFonts w:ascii="Arial" w:hAnsi="Arial"/>
                <w:b w:val="0"/>
                <w:sz w:val="17"/>
              </w:rPr>
              <w:t>Myomectomy</w:t>
            </w:r>
          </w:p>
        </w:tc>
        <w:tc>
          <w:tcPr>
            <w:tcW w:type="dxa" w:w="1300"/>
            <w:shd w:val="clear" w:color="auto" w:fill="F2F2F2"/>
          </w:tcPr>
          <w:p>
            <w:pPr>
              <w:spacing w:after="0" w:before="0"/>
            </w:pPr>
            <w:r>
              <w:rPr>
                <w:rFonts w:ascii="Arial" w:hAnsi="Arial"/>
                <w:b w:val="0"/>
                <w:sz w:val="17"/>
              </w:rPr>
              <w:t>Conventional minimal access</w:t>
            </w:r>
          </w:p>
        </w:tc>
        <w:tc>
          <w:tcPr>
            <w:tcW w:type="dxa" w:w="650"/>
            <w:shd w:val="clear" w:color="auto" w:fill="F2F2F2"/>
          </w:tcPr>
          <w:p>
            <w:pPr>
              <w:spacing w:after="0" w:before="0"/>
            </w:pPr>
            <w:r>
              <w:rPr>
                <w:rFonts w:ascii="Arial" w:hAnsi="Arial"/>
                <w:b w:val="0"/>
                <w:sz w:val="17"/>
              </w:rPr>
              <w:t>20%</w:t>
            </w:r>
          </w:p>
        </w:tc>
        <w:tc>
          <w:tcPr>
            <w:tcW w:type="dxa" w:w="800"/>
            <w:shd w:val="clear" w:color="auto" w:fill="F2F2F2"/>
          </w:tcPr>
          <w:p>
            <w:pPr>
              <w:spacing w:after="0" w:before="0"/>
            </w:pPr>
            <w:r>
              <w:rPr>
                <w:rFonts w:ascii="Arial" w:hAnsi="Arial"/>
                <w:b w:val="0"/>
                <w:sz w:val="17"/>
              </w:rPr>
              <w:t>0.2</w:t>
            </w:r>
          </w:p>
        </w:tc>
        <w:tc>
          <w:tcPr>
            <w:tcW w:type="dxa" w:w="850"/>
            <w:shd w:val="clear" w:color="auto" w:fill="F2F2F2"/>
          </w:tcPr>
          <w:p>
            <w:pPr>
              <w:spacing w:after="0" w:before="0"/>
            </w:pPr>
            <w:r>
              <w:rPr>
                <w:rFonts w:ascii="Arial" w:hAnsi="Arial"/>
                <w:b w:val="0"/>
                <w:sz w:val="17"/>
              </w:rPr>
              <w:t>5.0%</w:t>
            </w:r>
          </w:p>
        </w:tc>
        <w:tc>
          <w:tcPr>
            <w:tcW w:type="dxa" w:w="950"/>
            <w:shd w:val="clear" w:color="auto" w:fill="F2F2F2"/>
          </w:tcPr>
          <w:p>
            <w:pPr>
              <w:spacing w:after="0" w:before="0"/>
            </w:pPr>
            <w:r>
              <w:rPr>
                <w:rFonts w:ascii="Arial" w:hAnsi="Arial"/>
                <w:b w:val="0"/>
                <w:sz w:val="17"/>
              </w:rPr>
              <w:t>0.5%</w:t>
            </w:r>
          </w:p>
        </w:tc>
        <w:tc>
          <w:tcPr>
            <w:tcW w:type="dxa" w:w="900"/>
            <w:shd w:val="clear" w:color="auto" w:fill="F2F2F2"/>
          </w:tcPr>
          <w:p>
            <w:pPr>
              <w:spacing w:after="0" w:before="0"/>
            </w:pPr>
            <w:r>
              <w:rPr>
                <w:rFonts w:ascii="Arial" w:hAnsi="Arial"/>
                <w:b w:val="0"/>
                <w:sz w:val="17"/>
              </w:rPr>
              <w:t>0.0%</w:t>
            </w:r>
          </w:p>
        </w:tc>
        <w:tc>
          <w:tcPr>
            <w:tcW w:type="dxa" w:w="900"/>
            <w:shd w:val="clear" w:color="auto" w:fill="F2F2F2"/>
          </w:tcPr>
          <w:p>
            <w:pPr>
              <w:spacing w:after="0" w:before="0"/>
            </w:pPr>
            <w:r>
              <w:rPr>
                <w:rFonts w:ascii="Arial" w:hAnsi="Arial"/>
                <w:b w:val="0"/>
                <w:sz w:val="17"/>
              </w:rPr>
              <w:t>0.0%</w:t>
            </w:r>
          </w:p>
        </w:tc>
        <w:tc>
          <w:tcPr>
            <w:tcW w:type="dxa" w:w="676"/>
            <w:shd w:val="clear" w:color="auto" w:fill="F2F2F2"/>
          </w:tcPr>
          <w:p>
            <w:pPr>
              <w:spacing w:after="0" w:before="0"/>
            </w:pPr>
            <w:r>
              <w:rPr>
                <w:rFonts w:ascii="Arial" w:hAnsi="Arial"/>
                <w:b w:val="0"/>
                <w:sz w:val="17"/>
              </w:rPr>
              <w:t>20</w:t>
            </w:r>
          </w:p>
        </w:tc>
      </w:tr>
      <w:tr>
        <w:tc>
          <w:tcPr>
            <w:tcW w:type="dxa" w:w="2000"/>
          </w:tcPr>
          <w:p>
            <w:pPr>
              <w:spacing w:after="0" w:before="0"/>
            </w:pPr>
            <w:r>
              <w:rPr>
                <w:rFonts w:ascii="Arial" w:hAnsi="Arial"/>
                <w:b w:val="0"/>
                <w:sz w:val="17"/>
              </w:rPr>
              <w:t>Endometriosis excision</w:t>
            </w:r>
          </w:p>
        </w:tc>
        <w:tc>
          <w:tcPr>
            <w:tcW w:type="dxa" w:w="1300"/>
          </w:tcPr>
          <w:p>
            <w:pPr>
              <w:spacing w:after="0" w:before="0"/>
            </w:pPr>
            <w:r>
              <w:rPr>
                <w:rFonts w:ascii="Arial" w:hAnsi="Arial"/>
                <w:b w:val="0"/>
                <w:sz w:val="17"/>
              </w:rPr>
              <w:t>Open</w:t>
            </w:r>
          </w:p>
        </w:tc>
        <w:tc>
          <w:tcPr>
            <w:tcW w:type="dxa" w:w="650"/>
          </w:tcPr>
          <w:p>
            <w:pPr>
              <w:spacing w:after="0" w:before="0"/>
            </w:pPr>
            <w:r>
              <w:rPr>
                <w:rFonts w:ascii="Arial" w:hAnsi="Arial"/>
                <w:b w:val="0"/>
                <w:sz w:val="17"/>
              </w:rPr>
              <w:t>20%</w:t>
            </w:r>
          </w:p>
        </w:tc>
        <w:tc>
          <w:tcPr>
            <w:tcW w:type="dxa" w:w="800"/>
          </w:tcPr>
          <w:p>
            <w:pPr>
              <w:spacing w:after="0" w:before="0"/>
            </w:pPr>
            <w:r>
              <w:rPr>
                <w:rFonts w:ascii="Arial" w:hAnsi="Arial"/>
                <w:b w:val="0"/>
                <w:sz w:val="17"/>
              </w:rPr>
              <w:t>1.5</w:t>
            </w:r>
          </w:p>
        </w:tc>
        <w:tc>
          <w:tcPr>
            <w:tcW w:type="dxa" w:w="850"/>
          </w:tcPr>
          <w:p>
            <w:pPr>
              <w:spacing w:after="0" w:before="0"/>
            </w:pPr>
            <w:r>
              <w:rPr>
                <w:rFonts w:ascii="Arial" w:hAnsi="Arial"/>
                <w:b w:val="0"/>
                <w:sz w:val="17"/>
              </w:rPr>
              <w:t>0.0%</w:t>
            </w:r>
          </w:p>
        </w:tc>
        <w:tc>
          <w:tcPr>
            <w:tcW w:type="dxa" w:w="950"/>
          </w:tcPr>
          <w:p>
            <w:pPr>
              <w:spacing w:after="0" w:before="0"/>
            </w:pPr>
            <w:r>
              <w:rPr>
                <w:rFonts w:ascii="Arial" w:hAnsi="Arial"/>
                <w:b w:val="0"/>
                <w:sz w:val="17"/>
              </w:rPr>
              <w:t>2.0%</w:t>
            </w:r>
          </w:p>
        </w:tc>
        <w:tc>
          <w:tcPr>
            <w:tcW w:type="dxa" w:w="900"/>
          </w:tcPr>
          <w:p>
            <w:pPr>
              <w:spacing w:after="0" w:before="0"/>
            </w:pPr>
            <w:r>
              <w:rPr>
                <w:rFonts w:ascii="Arial" w:hAnsi="Arial"/>
                <w:b w:val="0"/>
                <w:sz w:val="17"/>
              </w:rPr>
              <w:t>0.5%</w:t>
            </w:r>
          </w:p>
        </w:tc>
        <w:tc>
          <w:tcPr>
            <w:tcW w:type="dxa" w:w="900"/>
          </w:tcPr>
          <w:p>
            <w:pPr>
              <w:spacing w:after="0" w:before="0"/>
            </w:pPr>
            <w:r>
              <w:rPr>
                <w:rFonts w:ascii="Arial" w:hAnsi="Arial"/>
                <w:b w:val="0"/>
                <w:sz w:val="17"/>
              </w:rPr>
              <w:t>0.5%</w:t>
            </w:r>
          </w:p>
        </w:tc>
        <w:tc>
          <w:tcPr>
            <w:tcW w:type="dxa" w:w="676"/>
          </w:tcPr>
          <w:p>
            <w:pPr>
              <w:spacing w:after="0" w:before="0"/>
            </w:pPr>
            <w:r>
              <w:rPr>
                <w:rFonts w:ascii="Arial" w:hAnsi="Arial"/>
                <w:b w:val="0"/>
                <w:sz w:val="17"/>
              </w:rPr>
              <w:t>20</w:t>
            </w:r>
          </w:p>
        </w:tc>
      </w:tr>
      <w:tr>
        <w:tc>
          <w:tcPr>
            <w:tcW w:type="dxa" w:w="2000"/>
            <w:shd w:val="clear" w:color="auto" w:fill="F2F2F2"/>
          </w:tcPr>
          <w:p>
            <w:pPr>
              <w:spacing w:after="0" w:before="0"/>
            </w:pPr>
            <w:r>
              <w:rPr>
                <w:rFonts w:ascii="Arial" w:hAnsi="Arial"/>
                <w:b w:val="0"/>
                <w:sz w:val="17"/>
              </w:rPr>
              <w:t>Endometriosis excision</w:t>
            </w:r>
          </w:p>
        </w:tc>
        <w:tc>
          <w:tcPr>
            <w:tcW w:type="dxa" w:w="1300"/>
            <w:shd w:val="clear" w:color="auto" w:fill="F2F2F2"/>
          </w:tcPr>
          <w:p>
            <w:pPr>
              <w:spacing w:after="0" w:before="0"/>
            </w:pPr>
            <w:r>
              <w:rPr>
                <w:rFonts w:ascii="Arial" w:hAnsi="Arial"/>
                <w:b w:val="0"/>
                <w:sz w:val="17"/>
              </w:rPr>
              <w:t>Conventional minimal access</w:t>
            </w:r>
          </w:p>
        </w:tc>
        <w:tc>
          <w:tcPr>
            <w:tcW w:type="dxa" w:w="650"/>
            <w:shd w:val="clear" w:color="auto" w:fill="F2F2F2"/>
          </w:tcPr>
          <w:p>
            <w:pPr>
              <w:spacing w:after="0" w:before="0"/>
            </w:pPr>
            <w:r>
              <w:rPr>
                <w:rFonts w:ascii="Arial" w:hAnsi="Arial"/>
                <w:b w:val="0"/>
                <w:sz w:val="17"/>
              </w:rPr>
              <w:t>80%</w:t>
            </w:r>
          </w:p>
        </w:tc>
        <w:tc>
          <w:tcPr>
            <w:tcW w:type="dxa" w:w="800"/>
            <w:shd w:val="clear" w:color="auto" w:fill="F2F2F2"/>
          </w:tcPr>
          <w:p>
            <w:pPr>
              <w:spacing w:after="0" w:before="0"/>
            </w:pPr>
            <w:r>
              <w:rPr>
                <w:rFonts w:ascii="Arial" w:hAnsi="Arial"/>
                <w:b w:val="0"/>
                <w:sz w:val="17"/>
              </w:rPr>
              <w:t>0.2</w:t>
            </w:r>
          </w:p>
        </w:tc>
        <w:tc>
          <w:tcPr>
            <w:tcW w:type="dxa" w:w="850"/>
            <w:shd w:val="clear" w:color="auto" w:fill="F2F2F2"/>
          </w:tcPr>
          <w:p>
            <w:pPr>
              <w:spacing w:after="0" w:before="0"/>
            </w:pPr>
            <w:r>
              <w:rPr>
                <w:rFonts w:ascii="Arial" w:hAnsi="Arial"/>
                <w:b w:val="0"/>
                <w:sz w:val="17"/>
              </w:rPr>
              <w:t>3.0%</w:t>
            </w:r>
          </w:p>
        </w:tc>
        <w:tc>
          <w:tcPr>
            <w:tcW w:type="dxa" w:w="950"/>
            <w:shd w:val="clear" w:color="auto" w:fill="F2F2F2"/>
          </w:tcPr>
          <w:p>
            <w:pPr>
              <w:spacing w:after="0" w:before="0"/>
            </w:pPr>
            <w:r>
              <w:rPr>
                <w:rFonts w:ascii="Arial" w:hAnsi="Arial"/>
                <w:b w:val="0"/>
                <w:sz w:val="17"/>
              </w:rPr>
              <w:t>0.5%</w:t>
            </w:r>
          </w:p>
        </w:tc>
        <w:tc>
          <w:tcPr>
            <w:tcW w:type="dxa" w:w="900"/>
            <w:shd w:val="clear" w:color="auto" w:fill="F2F2F2"/>
          </w:tcPr>
          <w:p>
            <w:pPr>
              <w:spacing w:after="0" w:before="0"/>
            </w:pPr>
            <w:r>
              <w:rPr>
                <w:rFonts w:ascii="Arial" w:hAnsi="Arial"/>
                <w:b w:val="0"/>
                <w:sz w:val="17"/>
              </w:rPr>
              <w:t>0.0%</w:t>
            </w:r>
          </w:p>
        </w:tc>
        <w:tc>
          <w:tcPr>
            <w:tcW w:type="dxa" w:w="900"/>
            <w:shd w:val="clear" w:color="auto" w:fill="F2F2F2"/>
          </w:tcPr>
          <w:p>
            <w:pPr>
              <w:spacing w:after="0" w:before="0"/>
            </w:pPr>
            <w:r>
              <w:rPr>
                <w:rFonts w:ascii="Arial" w:hAnsi="Arial"/>
                <w:b w:val="0"/>
                <w:sz w:val="17"/>
              </w:rPr>
              <w:t>0.0%</w:t>
            </w:r>
          </w:p>
        </w:tc>
        <w:tc>
          <w:tcPr>
            <w:tcW w:type="dxa" w:w="676"/>
            <w:shd w:val="clear" w:color="auto" w:fill="F2F2F2"/>
          </w:tcPr>
          <w:p>
            <w:pPr>
              <w:spacing w:after="0" w:before="0"/>
            </w:pPr>
            <w:r>
              <w:rPr>
                <w:rFonts w:ascii="Arial" w:hAnsi="Arial"/>
                <w:b w:val="0"/>
                <w:sz w:val="17"/>
              </w:rPr>
              <w:t>20</w:t>
            </w:r>
          </w:p>
        </w:tc>
      </w:tr>
      <w:tr>
        <w:tc>
          <w:tcPr>
            <w:tcW w:type="dxa" w:w="2000"/>
          </w:tcPr>
          <w:p>
            <w:pPr>
              <w:spacing w:after="0" w:before="0"/>
            </w:pPr>
            <w:r>
              <w:rPr>
                <w:rFonts w:ascii="Arial" w:hAnsi="Arial"/>
                <w:b w:val="0"/>
                <w:sz w:val="17"/>
              </w:rPr>
              <w:t>Adnexal surgery</w:t>
            </w:r>
          </w:p>
        </w:tc>
        <w:tc>
          <w:tcPr>
            <w:tcW w:type="dxa" w:w="1300"/>
          </w:tcPr>
          <w:p>
            <w:pPr>
              <w:spacing w:after="0" w:before="0"/>
            </w:pPr>
            <w:r>
              <w:rPr>
                <w:rFonts w:ascii="Arial" w:hAnsi="Arial"/>
                <w:b w:val="0"/>
                <w:sz w:val="17"/>
              </w:rPr>
              <w:t>Open</w:t>
            </w:r>
          </w:p>
        </w:tc>
        <w:tc>
          <w:tcPr>
            <w:tcW w:type="dxa" w:w="650"/>
          </w:tcPr>
          <w:p>
            <w:pPr>
              <w:spacing w:after="0" w:before="0"/>
            </w:pPr>
            <w:r>
              <w:rPr>
                <w:rFonts w:ascii="Arial" w:hAnsi="Arial"/>
                <w:b w:val="0"/>
                <w:sz w:val="17"/>
              </w:rPr>
              <w:t>10%</w:t>
            </w:r>
          </w:p>
        </w:tc>
        <w:tc>
          <w:tcPr>
            <w:tcW w:type="dxa" w:w="800"/>
          </w:tcPr>
          <w:p>
            <w:pPr>
              <w:spacing w:after="0" w:before="0"/>
            </w:pPr>
            <w:r>
              <w:rPr>
                <w:rFonts w:ascii="Arial" w:hAnsi="Arial"/>
                <w:b w:val="0"/>
                <w:sz w:val="17"/>
              </w:rPr>
              <w:t>1</w:t>
            </w:r>
          </w:p>
        </w:tc>
        <w:tc>
          <w:tcPr>
            <w:tcW w:type="dxa" w:w="850"/>
          </w:tcPr>
          <w:p>
            <w:pPr>
              <w:spacing w:after="0" w:before="0"/>
            </w:pPr>
            <w:r>
              <w:rPr>
                <w:rFonts w:ascii="Arial" w:hAnsi="Arial"/>
                <w:b w:val="0"/>
                <w:sz w:val="17"/>
              </w:rPr>
              <w:t>0.0%</w:t>
            </w:r>
          </w:p>
        </w:tc>
        <w:tc>
          <w:tcPr>
            <w:tcW w:type="dxa" w:w="950"/>
          </w:tcPr>
          <w:p>
            <w:pPr>
              <w:spacing w:after="0" w:before="0"/>
            </w:pPr>
            <w:r>
              <w:rPr>
                <w:rFonts w:ascii="Arial" w:hAnsi="Arial"/>
                <w:b w:val="0"/>
                <w:sz w:val="17"/>
              </w:rPr>
              <w:t>1.0%</w:t>
            </w:r>
          </w:p>
        </w:tc>
        <w:tc>
          <w:tcPr>
            <w:tcW w:type="dxa" w:w="900"/>
          </w:tcPr>
          <w:p>
            <w:pPr>
              <w:spacing w:after="0" w:before="0"/>
            </w:pPr>
            <w:r>
              <w:rPr>
                <w:rFonts w:ascii="Arial" w:hAnsi="Arial"/>
                <w:b w:val="0"/>
                <w:sz w:val="17"/>
              </w:rPr>
              <w:t>0.0%</w:t>
            </w:r>
          </w:p>
        </w:tc>
        <w:tc>
          <w:tcPr>
            <w:tcW w:type="dxa" w:w="900"/>
          </w:tcPr>
          <w:p>
            <w:pPr>
              <w:spacing w:after="0" w:before="0"/>
            </w:pPr>
            <w:r>
              <w:rPr>
                <w:rFonts w:ascii="Arial" w:hAnsi="Arial"/>
                <w:b w:val="0"/>
                <w:sz w:val="17"/>
              </w:rPr>
              <w:t>0.0%</w:t>
            </w:r>
          </w:p>
        </w:tc>
        <w:tc>
          <w:tcPr>
            <w:tcW w:type="dxa" w:w="676"/>
          </w:tcPr>
          <w:p>
            <w:pPr>
              <w:spacing w:after="0" w:before="0"/>
            </w:pPr>
            <w:r>
              <w:rPr>
                <w:rFonts w:ascii="Arial" w:hAnsi="Arial"/>
                <w:b w:val="0"/>
                <w:sz w:val="17"/>
              </w:rPr>
              <w:t>10</w:t>
            </w:r>
          </w:p>
        </w:tc>
      </w:tr>
      <w:tr>
        <w:tc>
          <w:tcPr>
            <w:tcW w:type="dxa" w:w="2000"/>
            <w:shd w:val="clear" w:color="auto" w:fill="F2F2F2"/>
          </w:tcPr>
          <w:p>
            <w:pPr>
              <w:spacing w:after="0" w:before="0"/>
            </w:pPr>
            <w:r>
              <w:rPr>
                <w:rFonts w:ascii="Arial" w:hAnsi="Arial"/>
                <w:b w:val="0"/>
                <w:sz w:val="17"/>
              </w:rPr>
              <w:t>Adnexal surgery</w:t>
            </w:r>
          </w:p>
        </w:tc>
        <w:tc>
          <w:tcPr>
            <w:tcW w:type="dxa" w:w="1300"/>
            <w:shd w:val="clear" w:color="auto" w:fill="F2F2F2"/>
          </w:tcPr>
          <w:p>
            <w:pPr>
              <w:spacing w:after="0" w:before="0"/>
            </w:pPr>
            <w:r>
              <w:rPr>
                <w:rFonts w:ascii="Arial" w:hAnsi="Arial"/>
                <w:b w:val="0"/>
                <w:sz w:val="17"/>
              </w:rPr>
              <w:t>Conventional minimal access</w:t>
            </w:r>
          </w:p>
        </w:tc>
        <w:tc>
          <w:tcPr>
            <w:tcW w:type="dxa" w:w="650"/>
            <w:shd w:val="clear" w:color="auto" w:fill="F2F2F2"/>
          </w:tcPr>
          <w:p>
            <w:pPr>
              <w:spacing w:after="0" w:before="0"/>
            </w:pPr>
            <w:r>
              <w:rPr>
                <w:rFonts w:ascii="Arial" w:hAnsi="Arial"/>
                <w:b w:val="0"/>
                <w:sz w:val="17"/>
              </w:rPr>
              <w:t>90%</w:t>
            </w:r>
          </w:p>
        </w:tc>
        <w:tc>
          <w:tcPr>
            <w:tcW w:type="dxa" w:w="800"/>
            <w:shd w:val="clear" w:color="auto" w:fill="F2F2F2"/>
          </w:tcPr>
          <w:p>
            <w:pPr>
              <w:spacing w:after="0" w:before="0"/>
            </w:pPr>
            <w:r>
              <w:rPr>
                <w:rFonts w:ascii="Arial" w:hAnsi="Arial"/>
                <w:b w:val="0"/>
                <w:sz w:val="17"/>
              </w:rPr>
              <w:t>0</w:t>
            </w:r>
          </w:p>
        </w:tc>
        <w:tc>
          <w:tcPr>
            <w:tcW w:type="dxa" w:w="850"/>
            <w:shd w:val="clear" w:color="auto" w:fill="F2F2F2"/>
          </w:tcPr>
          <w:p>
            <w:pPr>
              <w:spacing w:after="0" w:before="0"/>
            </w:pPr>
            <w:r>
              <w:rPr>
                <w:rFonts w:ascii="Arial" w:hAnsi="Arial"/>
                <w:b w:val="0"/>
                <w:sz w:val="17"/>
              </w:rPr>
              <w:t>1.0%</w:t>
            </w:r>
          </w:p>
        </w:tc>
        <w:tc>
          <w:tcPr>
            <w:tcW w:type="dxa" w:w="950"/>
            <w:shd w:val="clear" w:color="auto" w:fill="F2F2F2"/>
          </w:tcPr>
          <w:p>
            <w:pPr>
              <w:spacing w:after="0" w:before="0"/>
            </w:pPr>
            <w:r>
              <w:rPr>
                <w:rFonts w:ascii="Arial" w:hAnsi="Arial"/>
                <w:b w:val="0"/>
                <w:sz w:val="17"/>
              </w:rPr>
              <w:t>0.0%</w:t>
            </w:r>
          </w:p>
        </w:tc>
        <w:tc>
          <w:tcPr>
            <w:tcW w:type="dxa" w:w="900"/>
            <w:shd w:val="clear" w:color="auto" w:fill="F2F2F2"/>
          </w:tcPr>
          <w:p>
            <w:pPr>
              <w:spacing w:after="0" w:before="0"/>
            </w:pPr>
            <w:r>
              <w:rPr>
                <w:rFonts w:ascii="Arial" w:hAnsi="Arial"/>
                <w:b w:val="0"/>
                <w:sz w:val="17"/>
              </w:rPr>
              <w:t>0.0%</w:t>
            </w:r>
          </w:p>
        </w:tc>
        <w:tc>
          <w:tcPr>
            <w:tcW w:type="dxa" w:w="900"/>
            <w:shd w:val="clear" w:color="auto" w:fill="F2F2F2"/>
          </w:tcPr>
          <w:p>
            <w:pPr>
              <w:spacing w:after="0" w:before="0"/>
            </w:pPr>
            <w:r>
              <w:rPr>
                <w:rFonts w:ascii="Arial" w:hAnsi="Arial"/>
                <w:b w:val="0"/>
                <w:sz w:val="17"/>
              </w:rPr>
              <w:t>0.0%</w:t>
            </w:r>
          </w:p>
        </w:tc>
        <w:tc>
          <w:tcPr>
            <w:tcW w:type="dxa" w:w="676"/>
            <w:shd w:val="clear" w:color="auto" w:fill="F2F2F2"/>
          </w:tcPr>
          <w:p>
            <w:pPr>
              <w:spacing w:after="0" w:before="0"/>
            </w:pPr>
            <w:r>
              <w:rPr>
                <w:rFonts w:ascii="Arial" w:hAnsi="Arial"/>
                <w:b w:val="0"/>
                <w:sz w:val="17"/>
              </w:rPr>
              <w:t>15</w:t>
            </w:r>
          </w:p>
        </w:tc>
      </w:tr>
      <w:tr>
        <w:tc>
          <w:tcPr>
            <w:tcW w:type="dxa" w:w="2000"/>
          </w:tcPr>
          <w:p>
            <w:pPr>
              <w:spacing w:after="0" w:before="0"/>
            </w:pPr>
            <w:r>
              <w:rPr>
                <w:rFonts w:ascii="Arial" w:hAnsi="Arial"/>
                <w:b w:val="0"/>
                <w:sz w:val="17"/>
              </w:rPr>
              <w:t>Abdominal wall reconstruction</w:t>
            </w:r>
          </w:p>
        </w:tc>
        <w:tc>
          <w:tcPr>
            <w:tcW w:type="dxa" w:w="1300"/>
          </w:tcPr>
          <w:p>
            <w:pPr>
              <w:spacing w:after="0" w:before="0"/>
            </w:pPr>
            <w:r>
              <w:rPr>
                <w:rFonts w:ascii="Arial" w:hAnsi="Arial"/>
                <w:b w:val="0"/>
                <w:sz w:val="17"/>
              </w:rPr>
              <w:t>Open</w:t>
            </w:r>
          </w:p>
        </w:tc>
        <w:tc>
          <w:tcPr>
            <w:tcW w:type="dxa" w:w="650"/>
          </w:tcPr>
          <w:p>
            <w:pPr>
              <w:spacing w:after="0" w:before="0"/>
            </w:pPr>
            <w:r>
              <w:rPr>
                <w:rFonts w:ascii="Arial" w:hAnsi="Arial"/>
                <w:b w:val="0"/>
                <w:sz w:val="17"/>
              </w:rPr>
              <w:t>70%</w:t>
            </w:r>
          </w:p>
        </w:tc>
        <w:tc>
          <w:tcPr>
            <w:tcW w:type="dxa" w:w="800"/>
          </w:tcPr>
          <w:p>
            <w:pPr>
              <w:spacing w:after="0" w:before="0"/>
            </w:pPr>
            <w:r>
              <w:rPr>
                <w:rFonts w:ascii="Arial" w:hAnsi="Arial"/>
                <w:b w:val="0"/>
                <w:sz w:val="17"/>
              </w:rPr>
              <w:t>1.5</w:t>
            </w:r>
          </w:p>
        </w:tc>
        <w:tc>
          <w:tcPr>
            <w:tcW w:type="dxa" w:w="850"/>
          </w:tcPr>
          <w:p>
            <w:pPr>
              <w:spacing w:after="0" w:before="0"/>
            </w:pPr>
            <w:r>
              <w:rPr>
                <w:rFonts w:ascii="Arial" w:hAnsi="Arial"/>
                <w:b w:val="0"/>
                <w:sz w:val="17"/>
              </w:rPr>
              <w:t>0.0%</w:t>
            </w:r>
          </w:p>
        </w:tc>
        <w:tc>
          <w:tcPr>
            <w:tcW w:type="dxa" w:w="950"/>
          </w:tcPr>
          <w:p>
            <w:pPr>
              <w:spacing w:after="0" w:before="0"/>
            </w:pPr>
            <w:r>
              <w:rPr>
                <w:rFonts w:ascii="Arial" w:hAnsi="Arial"/>
                <w:b w:val="0"/>
                <w:sz w:val="17"/>
              </w:rPr>
              <w:t>3.0%</w:t>
            </w:r>
          </w:p>
        </w:tc>
        <w:tc>
          <w:tcPr>
            <w:tcW w:type="dxa" w:w="900"/>
          </w:tcPr>
          <w:p>
            <w:pPr>
              <w:spacing w:after="0" w:before="0"/>
            </w:pPr>
            <w:r>
              <w:rPr>
                <w:rFonts w:ascii="Arial" w:hAnsi="Arial"/>
                <w:b w:val="0"/>
                <w:sz w:val="17"/>
              </w:rPr>
              <w:t>0.5%</w:t>
            </w:r>
          </w:p>
        </w:tc>
        <w:tc>
          <w:tcPr>
            <w:tcW w:type="dxa" w:w="900"/>
          </w:tcPr>
          <w:p>
            <w:pPr>
              <w:spacing w:after="0" w:before="0"/>
            </w:pPr>
            <w:r>
              <w:rPr>
                <w:rFonts w:ascii="Arial" w:hAnsi="Arial"/>
                <w:b w:val="0"/>
                <w:sz w:val="17"/>
              </w:rPr>
              <w:t>1.0%</w:t>
            </w:r>
          </w:p>
        </w:tc>
        <w:tc>
          <w:tcPr>
            <w:tcW w:type="dxa" w:w="676"/>
          </w:tcPr>
          <w:p>
            <w:pPr>
              <w:spacing w:after="0" w:before="0"/>
            </w:pPr>
            <w:r>
              <w:rPr>
                <w:rFonts w:ascii="Arial" w:hAnsi="Arial"/>
                <w:b w:val="0"/>
                <w:sz w:val="17"/>
              </w:rPr>
              <w:t>45</w:t>
            </w:r>
          </w:p>
        </w:tc>
      </w:tr>
      <w:tr>
        <w:tc>
          <w:tcPr>
            <w:tcW w:type="dxa" w:w="2000"/>
            <w:shd w:val="clear" w:color="auto" w:fill="F2F2F2"/>
          </w:tcPr>
          <w:p>
            <w:pPr>
              <w:spacing w:after="0" w:before="0"/>
            </w:pPr>
            <w:r>
              <w:rPr>
                <w:rFonts w:ascii="Arial" w:hAnsi="Arial"/>
                <w:b w:val="0"/>
                <w:sz w:val="17"/>
              </w:rPr>
              <w:t>Abdominal wall reconstruction</w:t>
            </w:r>
          </w:p>
        </w:tc>
        <w:tc>
          <w:tcPr>
            <w:tcW w:type="dxa" w:w="1300"/>
            <w:shd w:val="clear" w:color="auto" w:fill="F2F2F2"/>
          </w:tcPr>
          <w:p>
            <w:pPr>
              <w:spacing w:after="0" w:before="0"/>
            </w:pPr>
            <w:r>
              <w:rPr>
                <w:rFonts w:ascii="Arial" w:hAnsi="Arial"/>
                <w:b w:val="0"/>
                <w:sz w:val="17"/>
              </w:rPr>
              <w:t>Conventional minimal access</w:t>
            </w:r>
          </w:p>
        </w:tc>
        <w:tc>
          <w:tcPr>
            <w:tcW w:type="dxa" w:w="650"/>
            <w:shd w:val="clear" w:color="auto" w:fill="F2F2F2"/>
          </w:tcPr>
          <w:p>
            <w:pPr>
              <w:spacing w:after="0" w:before="0"/>
            </w:pPr>
            <w:r>
              <w:rPr>
                <w:rFonts w:ascii="Arial" w:hAnsi="Arial"/>
                <w:b w:val="0"/>
                <w:sz w:val="17"/>
              </w:rPr>
              <w:t>30%</w:t>
            </w:r>
          </w:p>
        </w:tc>
        <w:tc>
          <w:tcPr>
            <w:tcW w:type="dxa" w:w="800"/>
            <w:shd w:val="clear" w:color="auto" w:fill="F2F2F2"/>
          </w:tcPr>
          <w:p>
            <w:pPr>
              <w:spacing w:after="0" w:before="0"/>
            </w:pPr>
            <w:r>
              <w:rPr>
                <w:rFonts w:ascii="Arial" w:hAnsi="Arial"/>
                <w:b w:val="0"/>
                <w:sz w:val="17"/>
              </w:rPr>
              <w:t>0.2</w:t>
            </w:r>
          </w:p>
        </w:tc>
        <w:tc>
          <w:tcPr>
            <w:tcW w:type="dxa" w:w="850"/>
            <w:shd w:val="clear" w:color="auto" w:fill="F2F2F2"/>
          </w:tcPr>
          <w:p>
            <w:pPr>
              <w:spacing w:after="0" w:before="0"/>
            </w:pPr>
            <w:r>
              <w:rPr>
                <w:rFonts w:ascii="Arial" w:hAnsi="Arial"/>
                <w:b w:val="0"/>
                <w:sz w:val="17"/>
              </w:rPr>
              <w:t>2.0%</w:t>
            </w:r>
          </w:p>
        </w:tc>
        <w:tc>
          <w:tcPr>
            <w:tcW w:type="dxa" w:w="950"/>
            <w:shd w:val="clear" w:color="auto" w:fill="F2F2F2"/>
          </w:tcPr>
          <w:p>
            <w:pPr>
              <w:spacing w:after="0" w:before="0"/>
            </w:pPr>
            <w:r>
              <w:rPr>
                <w:rFonts w:ascii="Arial" w:hAnsi="Arial"/>
                <w:b w:val="0"/>
                <w:sz w:val="17"/>
              </w:rPr>
              <w:t>0.5%</w:t>
            </w:r>
          </w:p>
        </w:tc>
        <w:tc>
          <w:tcPr>
            <w:tcW w:type="dxa" w:w="900"/>
            <w:shd w:val="clear" w:color="auto" w:fill="F2F2F2"/>
          </w:tcPr>
          <w:p>
            <w:pPr>
              <w:spacing w:after="0" w:before="0"/>
            </w:pPr>
            <w:r>
              <w:rPr>
                <w:rFonts w:ascii="Arial" w:hAnsi="Arial"/>
                <w:b w:val="0"/>
                <w:sz w:val="17"/>
              </w:rPr>
              <w:t>0.0%</w:t>
            </w:r>
          </w:p>
        </w:tc>
        <w:tc>
          <w:tcPr>
            <w:tcW w:type="dxa" w:w="900"/>
            <w:shd w:val="clear" w:color="auto" w:fill="F2F2F2"/>
          </w:tcPr>
          <w:p>
            <w:pPr>
              <w:spacing w:after="0" w:before="0"/>
            </w:pPr>
            <w:r>
              <w:rPr>
                <w:rFonts w:ascii="Arial" w:hAnsi="Arial"/>
                <w:b w:val="0"/>
                <w:sz w:val="17"/>
              </w:rPr>
              <w:t>0.0%</w:t>
            </w:r>
          </w:p>
        </w:tc>
        <w:tc>
          <w:tcPr>
            <w:tcW w:type="dxa" w:w="676"/>
            <w:shd w:val="clear" w:color="auto" w:fill="F2F2F2"/>
          </w:tcPr>
          <w:p>
            <w:pPr>
              <w:spacing w:after="0" w:before="0"/>
            </w:pPr>
            <w:r>
              <w:rPr>
                <w:rFonts w:ascii="Arial" w:hAnsi="Arial"/>
                <w:b w:val="0"/>
                <w:sz w:val="17"/>
              </w:rPr>
              <w:t>30</w:t>
            </w:r>
          </w:p>
        </w:tc>
      </w:tr>
      <w:tr>
        <w:tc>
          <w:tcPr>
            <w:tcW w:type="dxa" w:w="2000"/>
          </w:tcPr>
          <w:p>
            <w:pPr>
              <w:spacing w:after="0" w:before="0"/>
            </w:pPr>
            <w:r>
              <w:rPr>
                <w:rFonts w:ascii="Arial" w:hAnsi="Arial"/>
                <w:b w:val="0"/>
                <w:sz w:val="17"/>
              </w:rPr>
              <w:t>Upper GI (anti-reflux and hiatal hernia)</w:t>
            </w:r>
          </w:p>
        </w:tc>
        <w:tc>
          <w:tcPr>
            <w:tcW w:type="dxa" w:w="1300"/>
          </w:tcPr>
          <w:p>
            <w:pPr>
              <w:spacing w:after="0" w:before="0"/>
            </w:pPr>
            <w:r>
              <w:rPr>
                <w:rFonts w:ascii="Arial" w:hAnsi="Arial"/>
                <w:b w:val="0"/>
                <w:sz w:val="17"/>
              </w:rPr>
              <w:t>Open</w:t>
            </w:r>
          </w:p>
        </w:tc>
        <w:tc>
          <w:tcPr>
            <w:tcW w:type="dxa" w:w="650"/>
          </w:tcPr>
          <w:p>
            <w:pPr>
              <w:spacing w:after="0" w:before="0"/>
            </w:pPr>
            <w:r>
              <w:rPr>
                <w:rFonts w:ascii="Arial" w:hAnsi="Arial"/>
                <w:b w:val="0"/>
                <w:sz w:val="17"/>
              </w:rPr>
              <w:t>5%</w:t>
            </w:r>
          </w:p>
        </w:tc>
        <w:tc>
          <w:tcPr>
            <w:tcW w:type="dxa" w:w="800"/>
          </w:tcPr>
          <w:p>
            <w:pPr>
              <w:spacing w:after="0" w:before="0"/>
            </w:pPr>
            <w:r>
              <w:rPr>
                <w:rFonts w:ascii="Arial" w:hAnsi="Arial"/>
                <w:b w:val="0"/>
                <w:sz w:val="17"/>
              </w:rPr>
              <w:t>2</w:t>
            </w:r>
          </w:p>
        </w:tc>
        <w:tc>
          <w:tcPr>
            <w:tcW w:type="dxa" w:w="850"/>
          </w:tcPr>
          <w:p>
            <w:pPr>
              <w:spacing w:after="0" w:before="0"/>
            </w:pPr>
            <w:r>
              <w:rPr>
                <w:rFonts w:ascii="Arial" w:hAnsi="Arial"/>
                <w:b w:val="0"/>
                <w:sz w:val="17"/>
              </w:rPr>
              <w:t>0.0%</w:t>
            </w:r>
          </w:p>
        </w:tc>
        <w:tc>
          <w:tcPr>
            <w:tcW w:type="dxa" w:w="950"/>
          </w:tcPr>
          <w:p>
            <w:pPr>
              <w:spacing w:after="0" w:before="0"/>
            </w:pPr>
            <w:r>
              <w:rPr>
                <w:rFonts w:ascii="Arial" w:hAnsi="Arial"/>
                <w:b w:val="0"/>
                <w:sz w:val="17"/>
              </w:rPr>
              <w:t>2.0%</w:t>
            </w:r>
          </w:p>
        </w:tc>
        <w:tc>
          <w:tcPr>
            <w:tcW w:type="dxa" w:w="900"/>
          </w:tcPr>
          <w:p>
            <w:pPr>
              <w:spacing w:after="0" w:before="0"/>
            </w:pPr>
            <w:r>
              <w:rPr>
                <w:rFonts w:ascii="Arial" w:hAnsi="Arial"/>
                <w:b w:val="0"/>
                <w:sz w:val="17"/>
              </w:rPr>
              <w:t>0.5%</w:t>
            </w:r>
          </w:p>
        </w:tc>
        <w:tc>
          <w:tcPr>
            <w:tcW w:type="dxa" w:w="900"/>
          </w:tcPr>
          <w:p>
            <w:pPr>
              <w:spacing w:after="0" w:before="0"/>
            </w:pPr>
            <w:r>
              <w:rPr>
                <w:rFonts w:ascii="Arial" w:hAnsi="Arial"/>
                <w:b w:val="0"/>
                <w:sz w:val="17"/>
              </w:rPr>
              <w:t>0.0%</w:t>
            </w:r>
          </w:p>
        </w:tc>
        <w:tc>
          <w:tcPr>
            <w:tcW w:type="dxa" w:w="676"/>
          </w:tcPr>
          <w:p>
            <w:pPr>
              <w:spacing w:after="0" w:before="0"/>
            </w:pPr>
            <w:r>
              <w:rPr>
                <w:rFonts w:ascii="Arial" w:hAnsi="Arial"/>
                <w:b w:val="0"/>
                <w:sz w:val="17"/>
              </w:rPr>
              <w:t>30</w:t>
            </w:r>
          </w:p>
        </w:tc>
      </w:tr>
      <w:tr>
        <w:tc>
          <w:tcPr>
            <w:tcW w:type="dxa" w:w="2000"/>
            <w:shd w:val="clear" w:color="auto" w:fill="F2F2F2"/>
          </w:tcPr>
          <w:p>
            <w:pPr>
              <w:spacing w:after="0" w:before="0"/>
            </w:pPr>
            <w:r>
              <w:rPr>
                <w:rFonts w:ascii="Arial" w:hAnsi="Arial"/>
                <w:b w:val="0"/>
                <w:sz w:val="17"/>
              </w:rPr>
              <w:t>Upper GI (anti-reflux and hiatal hernia)</w:t>
            </w:r>
          </w:p>
        </w:tc>
        <w:tc>
          <w:tcPr>
            <w:tcW w:type="dxa" w:w="1300"/>
            <w:shd w:val="clear" w:color="auto" w:fill="F2F2F2"/>
          </w:tcPr>
          <w:p>
            <w:pPr>
              <w:spacing w:after="0" w:before="0"/>
            </w:pPr>
            <w:r>
              <w:rPr>
                <w:rFonts w:ascii="Arial" w:hAnsi="Arial"/>
                <w:b w:val="0"/>
                <w:sz w:val="17"/>
              </w:rPr>
              <w:t>Conventional minimal access</w:t>
            </w:r>
          </w:p>
        </w:tc>
        <w:tc>
          <w:tcPr>
            <w:tcW w:type="dxa" w:w="650"/>
            <w:shd w:val="clear" w:color="auto" w:fill="F2F2F2"/>
          </w:tcPr>
          <w:p>
            <w:pPr>
              <w:spacing w:after="0" w:before="0"/>
            </w:pPr>
            <w:r>
              <w:rPr>
                <w:rFonts w:ascii="Arial" w:hAnsi="Arial"/>
                <w:b w:val="0"/>
                <w:sz w:val="17"/>
              </w:rPr>
              <w:t>95%</w:t>
            </w:r>
          </w:p>
        </w:tc>
        <w:tc>
          <w:tcPr>
            <w:tcW w:type="dxa" w:w="800"/>
            <w:shd w:val="clear" w:color="auto" w:fill="F2F2F2"/>
          </w:tcPr>
          <w:p>
            <w:pPr>
              <w:spacing w:after="0" w:before="0"/>
            </w:pPr>
            <w:r>
              <w:rPr>
                <w:rFonts w:ascii="Arial" w:hAnsi="Arial"/>
                <w:b w:val="0"/>
                <w:sz w:val="17"/>
              </w:rPr>
              <w:t>0.2</w:t>
            </w:r>
          </w:p>
        </w:tc>
        <w:tc>
          <w:tcPr>
            <w:tcW w:type="dxa" w:w="850"/>
            <w:shd w:val="clear" w:color="auto" w:fill="F2F2F2"/>
          </w:tcPr>
          <w:p>
            <w:pPr>
              <w:spacing w:after="0" w:before="0"/>
            </w:pPr>
            <w:r>
              <w:rPr>
                <w:rFonts w:ascii="Arial" w:hAnsi="Arial"/>
                <w:b w:val="0"/>
                <w:sz w:val="17"/>
              </w:rPr>
              <w:t>2.0%</w:t>
            </w:r>
          </w:p>
        </w:tc>
        <w:tc>
          <w:tcPr>
            <w:tcW w:type="dxa" w:w="950"/>
            <w:shd w:val="clear" w:color="auto" w:fill="F2F2F2"/>
          </w:tcPr>
          <w:p>
            <w:pPr>
              <w:spacing w:after="0" w:before="0"/>
            </w:pPr>
            <w:r>
              <w:rPr>
                <w:rFonts w:ascii="Arial" w:hAnsi="Arial"/>
                <w:b w:val="0"/>
                <w:sz w:val="17"/>
              </w:rPr>
              <w:t>0.5%</w:t>
            </w:r>
          </w:p>
        </w:tc>
        <w:tc>
          <w:tcPr>
            <w:tcW w:type="dxa" w:w="900"/>
            <w:shd w:val="clear" w:color="auto" w:fill="F2F2F2"/>
          </w:tcPr>
          <w:p>
            <w:pPr>
              <w:spacing w:after="0" w:before="0"/>
            </w:pPr>
            <w:r>
              <w:rPr>
                <w:rFonts w:ascii="Arial" w:hAnsi="Arial"/>
                <w:b w:val="0"/>
                <w:sz w:val="17"/>
              </w:rPr>
              <w:t>0.0%</w:t>
            </w:r>
          </w:p>
        </w:tc>
        <w:tc>
          <w:tcPr>
            <w:tcW w:type="dxa" w:w="900"/>
            <w:shd w:val="clear" w:color="auto" w:fill="F2F2F2"/>
          </w:tcPr>
          <w:p>
            <w:pPr>
              <w:spacing w:after="0" w:before="0"/>
            </w:pPr>
            <w:r>
              <w:rPr>
                <w:rFonts w:ascii="Arial" w:hAnsi="Arial"/>
                <w:b w:val="0"/>
                <w:sz w:val="17"/>
              </w:rPr>
              <w:t>0.0%</w:t>
            </w:r>
          </w:p>
        </w:tc>
        <w:tc>
          <w:tcPr>
            <w:tcW w:type="dxa" w:w="676"/>
            <w:shd w:val="clear" w:color="auto" w:fill="F2F2F2"/>
          </w:tcPr>
          <w:p>
            <w:pPr>
              <w:spacing w:after="0" w:before="0"/>
            </w:pPr>
            <w:r>
              <w:rPr>
                <w:rFonts w:ascii="Arial" w:hAnsi="Arial"/>
                <w:b w:val="0"/>
                <w:sz w:val="17"/>
              </w:rPr>
              <w:t>20</w:t>
            </w:r>
          </w:p>
        </w:tc>
      </w:tr>
    </w:tbl>
    <w:p/>
    <w:p>
      <w:pPr>
        <w:pStyle w:val="Heading3"/>
      </w:pPr>
      <w:r>
        <w:t>Rationale and sources</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400"/>
        <w:gridCol w:w="3300"/>
        <w:gridCol w:w="3326"/>
      </w:tblGrid>
      <w:tr>
        <w:trPr>
          <w:tblHeader w:val="true"/>
        </w:trPr>
        <w:tc>
          <w:tcPr>
            <w:tcW w:type="dxa" w:w="2400"/>
            <w:shd w:val="clear" w:color="auto" w:fill="1F3864"/>
          </w:tcPr>
          <w:p>
            <w:pPr>
              <w:spacing w:after="0" w:before="0"/>
            </w:pPr>
            <w:r/>
            <w:r>
              <w:rPr>
                <w:rFonts w:ascii="Arial" w:hAnsi="Arial"/>
                <w:b/>
                <w:color w:val="FFFFFF"/>
                <w:sz w:val="17"/>
              </w:rPr>
              <w:t>Specialty</w:t>
            </w:r>
          </w:p>
        </w:tc>
        <w:tc>
          <w:tcPr>
            <w:tcW w:type="dxa" w:w="3300"/>
            <w:shd w:val="clear" w:color="auto" w:fill="1F3864"/>
          </w:tcPr>
          <w:p>
            <w:pPr>
              <w:spacing w:after="0" w:before="0"/>
            </w:pPr>
            <w:r/>
            <w:r>
              <w:rPr>
                <w:rFonts w:ascii="Arial" w:hAnsi="Arial"/>
                <w:b/>
                <w:color w:val="FFFFFF"/>
                <w:sz w:val="17"/>
              </w:rPr>
              <w:t>Counterfactual rationale</w:t>
            </w:r>
          </w:p>
        </w:tc>
        <w:tc>
          <w:tcPr>
            <w:tcW w:type="dxa" w:w="3326"/>
            <w:shd w:val="clear" w:color="auto" w:fill="1F3864"/>
          </w:tcPr>
          <w:p>
            <w:pPr>
              <w:spacing w:after="0" w:before="0"/>
            </w:pPr>
            <w:r/>
            <w:r>
              <w:rPr>
                <w:rFonts w:ascii="Arial" w:hAnsi="Arial"/>
                <w:b/>
                <w:color w:val="FFFFFF"/>
                <w:sz w:val="17"/>
              </w:rPr>
              <w:t>Evidence</w:t>
            </w:r>
          </w:p>
        </w:tc>
      </w:tr>
      <w:tr>
        <w:tc>
          <w:tcPr>
            <w:tcW w:type="dxa" w:w="2400"/>
          </w:tcPr>
          <w:p>
            <w:pPr>
              <w:spacing w:after="0" w:before="0"/>
            </w:pPr>
            <w:r>
              <w:rPr>
                <w:rFonts w:ascii="Arial" w:hAnsi="Arial"/>
                <w:b w:val="0"/>
                <w:sz w:val="17"/>
              </w:rPr>
              <w:t>Colorectal major resection (colon and rectum)</w:t>
            </w:r>
          </w:p>
        </w:tc>
        <w:tc>
          <w:tcPr>
            <w:tcW w:type="dxa" w:w="3300"/>
          </w:tcPr>
          <w:p>
            <w:pPr>
              <w:spacing w:after="0" w:before="0"/>
            </w:pPr>
            <w:r>
              <w:rPr>
                <w:rFonts w:ascii="Arial" w:hAnsi="Arial"/>
                <w:b w:val="0"/>
                <w:sz w:val="17"/>
              </w:rPr>
              <w:t>Most suitable cases are already laparoscopic; robot displaces some open (e.g. obese, pelvic, re-do).</w:t>
            </w:r>
          </w:p>
        </w:tc>
        <w:tc>
          <w:tcPr>
            <w:tcW w:type="dxa" w:w="3326"/>
          </w:tcPr>
          <w:p>
            <w:pPr>
              <w:spacing w:after="0" w:before="0"/>
            </w:pPr>
            <w:r>
              <w:rPr>
                <w:rFonts w:ascii="Arial" w:hAnsi="Arial"/>
                <w:b w:val="0"/>
                <w:sz w:val="17"/>
              </w:rPr>
              <w:t>Versus laparoscopy: conversion 9.8% v 4.8% in elective colectomy for cancer (US national registry, Surg Endosc 2024); length of stay mean difference -0.68 days (meta-analysis, PLoS One 2015). Open share is a placeholder: 25% of major bowel cancer resections in England and Wales were open in 2023 (NBOCA 2025), and patients chosen for the robot are a selected subgroup. Versus open: expert estimate.</w:t>
            </w:r>
          </w:p>
        </w:tc>
      </w:tr>
      <w:tr>
        <w:tc>
          <w:tcPr>
            <w:tcW w:type="dxa" w:w="2400"/>
            <w:shd w:val="clear" w:color="auto" w:fill="F2F2F2"/>
          </w:tcPr>
          <w:p>
            <w:pPr>
              <w:spacing w:after="0" w:before="0"/>
            </w:pPr>
            <w:r>
              <w:rPr>
                <w:rFonts w:ascii="Arial" w:hAnsi="Arial"/>
                <w:b w:val="0"/>
                <w:sz w:val="17"/>
              </w:rPr>
              <w:t>Nephrectomy and partial nephrectomy</w:t>
            </w:r>
          </w:p>
        </w:tc>
        <w:tc>
          <w:tcPr>
            <w:tcW w:type="dxa" w:w="3300"/>
            <w:shd w:val="clear" w:color="auto" w:fill="F2F2F2"/>
          </w:tcPr>
          <w:p>
            <w:pPr>
              <w:spacing w:after="0" w:before="0"/>
            </w:pPr>
            <w:r>
              <w:rPr>
                <w:rFonts w:ascii="Arial" w:hAnsi="Arial"/>
                <w:b w:val="0"/>
                <w:sz w:val="17"/>
              </w:rPr>
              <w:t>Partial nephrectomy is often open without a robot; radical mostly laparoscopic.</w:t>
            </w:r>
          </w:p>
        </w:tc>
        <w:tc>
          <w:tcPr>
            <w:tcW w:type="dxa" w:w="3326"/>
            <w:shd w:val="clear" w:color="auto" w:fill="F2F2F2"/>
          </w:tcPr>
          <w:p>
            <w:pPr>
              <w:spacing w:after="0" w:before="0"/>
            </w:pPr>
            <w:r>
              <w:rPr>
                <w:rFonts w:ascii="Arial" w:hAnsi="Arial"/>
                <w:b w:val="0"/>
                <w:sz w:val="17"/>
              </w:rPr>
              <w:t>Best-available estimate pending specialty review (placeholder).</w:t>
            </w:r>
          </w:p>
        </w:tc>
      </w:tr>
      <w:tr>
        <w:tc>
          <w:tcPr>
            <w:tcW w:type="dxa" w:w="2400"/>
          </w:tcPr>
          <w:p>
            <w:pPr>
              <w:spacing w:after="0" w:before="0"/>
            </w:pPr>
            <w:r>
              <w:rPr>
                <w:rFonts w:ascii="Arial" w:hAnsi="Arial"/>
                <w:b w:val="0"/>
                <w:sz w:val="17"/>
              </w:rPr>
              <w:t>Hysterectomy (benign and malignant)</w:t>
            </w:r>
          </w:p>
        </w:tc>
        <w:tc>
          <w:tcPr>
            <w:tcW w:type="dxa" w:w="3300"/>
          </w:tcPr>
          <w:p>
            <w:pPr>
              <w:spacing w:after="0" w:before="0"/>
            </w:pPr>
            <w:r>
              <w:rPr>
                <w:rFonts w:ascii="Arial" w:hAnsi="Arial"/>
                <w:b w:val="0"/>
                <w:sz w:val="17"/>
              </w:rPr>
              <w:t>Complex cases offered to the robot (large uterus, obesity) are often open otherwise.</w:t>
            </w:r>
          </w:p>
        </w:tc>
        <w:tc>
          <w:tcPr>
            <w:tcW w:type="dxa" w:w="3326"/>
          </w:tcPr>
          <w:p>
            <w:pPr>
              <w:spacing w:after="0" w:before="0"/>
            </w:pPr>
            <w:r>
              <w:rPr>
                <w:rFonts w:ascii="Arial" w:hAnsi="Arial"/>
                <w:b w:val="0"/>
                <w:sz w:val="17"/>
              </w:rPr>
              <w:t>Open share placeholder. In England, about half of hysterectomies were laparoscopic by 2011-17 (Madhvani et al, cited in Clark and Saridogan 2021). Effect sizes are placeholders.</w:t>
            </w:r>
          </w:p>
        </w:tc>
      </w:tr>
      <w:tr>
        <w:tc>
          <w:tcPr>
            <w:tcW w:type="dxa" w:w="2400"/>
            <w:shd w:val="clear" w:color="auto" w:fill="F2F2F2"/>
          </w:tcPr>
          <w:p>
            <w:pPr>
              <w:spacing w:after="0" w:before="0"/>
            </w:pPr>
            <w:r>
              <w:rPr>
                <w:rFonts w:ascii="Arial" w:hAnsi="Arial"/>
                <w:b w:val="0"/>
                <w:sz w:val="17"/>
              </w:rPr>
              <w:t>Myomectomy</w:t>
            </w:r>
          </w:p>
        </w:tc>
        <w:tc>
          <w:tcPr>
            <w:tcW w:type="dxa" w:w="3300"/>
            <w:shd w:val="clear" w:color="auto" w:fill="F2F2F2"/>
          </w:tcPr>
          <w:p>
            <w:pPr>
              <w:spacing w:after="0" w:before="0"/>
            </w:pPr>
            <w:r>
              <w:rPr>
                <w:rFonts w:ascii="Arial" w:hAnsi="Arial"/>
                <w:b w:val="0"/>
                <w:sz w:val="17"/>
              </w:rPr>
              <w:t>Predominantly open without a robot.</w:t>
            </w:r>
          </w:p>
        </w:tc>
        <w:tc>
          <w:tcPr>
            <w:tcW w:type="dxa" w:w="3326"/>
            <w:shd w:val="clear" w:color="auto" w:fill="F2F2F2"/>
          </w:tcPr>
          <w:p>
            <w:pPr>
              <w:spacing w:after="0" w:before="0"/>
            </w:pPr>
            <w:r>
              <w:rPr>
                <w:rFonts w:ascii="Arial" w:hAnsi="Arial"/>
                <w:b w:val="0"/>
                <w:sz w:val="17"/>
              </w:rPr>
              <w:t>Best-available estimate pending specialty review (placeholder).</w:t>
            </w:r>
          </w:p>
        </w:tc>
      </w:tr>
      <w:tr>
        <w:tc>
          <w:tcPr>
            <w:tcW w:type="dxa" w:w="2400"/>
          </w:tcPr>
          <w:p>
            <w:pPr>
              <w:spacing w:after="0" w:before="0"/>
            </w:pPr>
            <w:r>
              <w:rPr>
                <w:rFonts w:ascii="Arial" w:hAnsi="Arial"/>
                <w:b w:val="0"/>
                <w:sz w:val="17"/>
              </w:rPr>
              <w:t>Endometriosis excision</w:t>
            </w:r>
          </w:p>
        </w:tc>
        <w:tc>
          <w:tcPr>
            <w:tcW w:type="dxa" w:w="3300"/>
          </w:tcPr>
          <w:p>
            <w:pPr>
              <w:spacing w:after="0" w:before="0"/>
            </w:pPr>
            <w:r>
              <w:rPr>
                <w:rFonts w:ascii="Arial" w:hAnsi="Arial"/>
                <w:b w:val="0"/>
                <w:sz w:val="17"/>
              </w:rPr>
              <w:t>Mostly laparoscopic; deep disease with bowel involvement sometimes open.</w:t>
            </w:r>
          </w:p>
        </w:tc>
        <w:tc>
          <w:tcPr>
            <w:tcW w:type="dxa" w:w="3326"/>
          </w:tcPr>
          <w:p>
            <w:pPr>
              <w:spacing w:after="0" w:before="0"/>
            </w:pPr>
            <w:r>
              <w:rPr>
                <w:rFonts w:ascii="Arial" w:hAnsi="Arial"/>
                <w:b w:val="0"/>
                <w:sz w:val="17"/>
              </w:rPr>
              <w:t>Best-available estimate pending specialty review (placeholder).</w:t>
            </w:r>
          </w:p>
        </w:tc>
      </w:tr>
      <w:tr>
        <w:tc>
          <w:tcPr>
            <w:tcW w:type="dxa" w:w="2400"/>
            <w:shd w:val="clear" w:color="auto" w:fill="F2F2F2"/>
          </w:tcPr>
          <w:p>
            <w:pPr>
              <w:spacing w:after="0" w:before="0"/>
            </w:pPr>
            <w:r>
              <w:rPr>
                <w:rFonts w:ascii="Arial" w:hAnsi="Arial"/>
                <w:b w:val="0"/>
                <w:sz w:val="17"/>
              </w:rPr>
              <w:t>Adnexal surgery</w:t>
            </w:r>
          </w:p>
        </w:tc>
        <w:tc>
          <w:tcPr>
            <w:tcW w:type="dxa" w:w="3300"/>
            <w:shd w:val="clear" w:color="auto" w:fill="F2F2F2"/>
          </w:tcPr>
          <w:p>
            <w:pPr>
              <w:spacing w:after="0" w:before="0"/>
            </w:pPr>
            <w:r>
              <w:rPr>
                <w:rFonts w:ascii="Arial" w:hAnsi="Arial"/>
                <w:b w:val="0"/>
                <w:sz w:val="17"/>
              </w:rPr>
              <w:t>Mostly laparoscopic; low value on the robot except complex masses.</w:t>
            </w:r>
          </w:p>
        </w:tc>
        <w:tc>
          <w:tcPr>
            <w:tcW w:type="dxa" w:w="3326"/>
            <w:shd w:val="clear" w:color="auto" w:fill="F2F2F2"/>
          </w:tcPr>
          <w:p>
            <w:pPr>
              <w:spacing w:after="0" w:before="0"/>
            </w:pPr>
            <w:r>
              <w:rPr>
                <w:rFonts w:ascii="Arial" w:hAnsi="Arial"/>
                <w:b w:val="0"/>
                <w:sz w:val="17"/>
              </w:rPr>
              <w:t>Best-available estimate pending specialty review (placeholder).</w:t>
            </w:r>
          </w:p>
        </w:tc>
      </w:tr>
      <w:tr>
        <w:tc>
          <w:tcPr>
            <w:tcW w:type="dxa" w:w="2400"/>
          </w:tcPr>
          <w:p>
            <w:pPr>
              <w:spacing w:after="0" w:before="0"/>
            </w:pPr>
            <w:r>
              <w:rPr>
                <w:rFonts w:ascii="Arial" w:hAnsi="Arial"/>
                <w:b w:val="0"/>
                <w:sz w:val="17"/>
              </w:rPr>
              <w:t>Abdominal wall reconstruction</w:t>
            </w:r>
          </w:p>
        </w:tc>
        <w:tc>
          <w:tcPr>
            <w:tcW w:type="dxa" w:w="3300"/>
          </w:tcPr>
          <w:p>
            <w:pPr>
              <w:spacing w:after="0" w:before="0"/>
            </w:pPr>
            <w:r>
              <w:rPr>
                <w:rFonts w:ascii="Arial" w:hAnsi="Arial"/>
                <w:b w:val="0"/>
                <w:sz w:val="17"/>
              </w:rPr>
              <w:t>Most ventral and incisional repairs are open without a robot.</w:t>
            </w:r>
          </w:p>
        </w:tc>
        <w:tc>
          <w:tcPr>
            <w:tcW w:type="dxa" w:w="3326"/>
          </w:tcPr>
          <w:p>
            <w:pPr>
              <w:spacing w:after="0" w:before="0"/>
            </w:pPr>
            <w:r>
              <w:rPr>
                <w:rFonts w:ascii="Arial" w:hAnsi="Arial"/>
                <w:b w:val="0"/>
                <w:sz w:val="17"/>
              </w:rPr>
              <w:t>Flagged for review: the 30-day assumptions were set for ventral and incisional hernia repair, not abdominal wall reconstruction. Open share placeholder; open repair remains the commonest approach to hernia repair in UK national data (World J Emerg Surg 2025).</w:t>
            </w:r>
          </w:p>
        </w:tc>
      </w:tr>
      <w:tr>
        <w:tc>
          <w:tcPr>
            <w:tcW w:type="dxa" w:w="2400"/>
            <w:shd w:val="clear" w:color="auto" w:fill="F2F2F2"/>
          </w:tcPr>
          <w:p>
            <w:pPr>
              <w:spacing w:after="0" w:before="0"/>
            </w:pPr>
            <w:r>
              <w:rPr>
                <w:rFonts w:ascii="Arial" w:hAnsi="Arial"/>
                <w:b w:val="0"/>
                <w:sz w:val="17"/>
              </w:rPr>
              <w:t>Upper GI (anti-reflux and hiatal hernia)</w:t>
            </w:r>
          </w:p>
        </w:tc>
        <w:tc>
          <w:tcPr>
            <w:tcW w:type="dxa" w:w="3300"/>
            <w:shd w:val="clear" w:color="auto" w:fill="F2F2F2"/>
          </w:tcPr>
          <w:p>
            <w:pPr>
              <w:spacing w:after="0" w:before="0"/>
            </w:pPr>
            <w:r>
              <w:rPr>
                <w:rFonts w:ascii="Arial" w:hAnsi="Arial"/>
                <w:b w:val="0"/>
                <w:sz w:val="17"/>
              </w:rPr>
              <w:t>Almost all laparoscopic without a robot.</w:t>
            </w:r>
          </w:p>
        </w:tc>
        <w:tc>
          <w:tcPr>
            <w:tcW w:type="dxa" w:w="3326"/>
            <w:shd w:val="clear" w:color="auto" w:fill="F2F2F2"/>
          </w:tcPr>
          <w:p>
            <w:pPr>
              <w:spacing w:after="0" w:before="0"/>
            </w:pPr>
            <w:r>
              <w:rPr>
                <w:rFonts w:ascii="Arial" w:hAnsi="Arial"/>
                <w:b w:val="0"/>
                <w:sz w:val="17"/>
              </w:rPr>
              <w:t>Best-available estimate pending specialty review (placeholder).</w:t>
            </w:r>
          </w:p>
        </w:tc>
      </w:tr>
    </w:tbl>
    <w:p/>
    <w:p>
      <w:pPr>
        <w:pStyle w:val="Heading3"/>
      </w:pPr>
      <w:r>
        <w:t>How the theatre template maps to procedures</w:t>
      </w:r>
    </w:p>
    <w:p>
      <w:r>
        <w:rPr>
          <w:rFonts w:ascii="Arial" w:hAnsi="Arial"/>
          <w:b w:val="0"/>
          <w:sz w:val="22"/>
        </w:rPr>
        <w:t>Each session on the template has a list type and a number of major, medium and minor cases. The table shows which procedure each tier counts as, and the split where a tier covers several procedures. 'Not modelled' cases are costed but carry no 30-day benefit. Changes from the defaults are listed in Appendix C.</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600"/>
        <w:gridCol w:w="1200"/>
        <w:gridCol w:w="5226"/>
      </w:tblGrid>
      <w:tr>
        <w:trPr>
          <w:tblHeader w:val="true"/>
        </w:trPr>
        <w:tc>
          <w:tcPr>
            <w:tcW w:type="dxa" w:w="2600"/>
            <w:shd w:val="clear" w:color="auto" w:fill="1F3864"/>
          </w:tcPr>
          <w:p>
            <w:pPr>
              <w:spacing w:after="0" w:before="0"/>
            </w:pPr>
            <w:r/>
            <w:r>
              <w:rPr>
                <w:rFonts w:ascii="Arial" w:hAnsi="Arial"/>
                <w:b/>
                <w:color w:val="FFFFFF"/>
                <w:sz w:val="17"/>
              </w:rPr>
              <w:t>List type</w:t>
            </w:r>
          </w:p>
        </w:tc>
        <w:tc>
          <w:tcPr>
            <w:tcW w:type="dxa" w:w="1200"/>
            <w:shd w:val="clear" w:color="auto" w:fill="1F3864"/>
          </w:tcPr>
          <w:p>
            <w:pPr>
              <w:spacing w:after="0" w:before="0"/>
            </w:pPr>
            <w:r/>
            <w:r>
              <w:rPr>
                <w:rFonts w:ascii="Arial" w:hAnsi="Arial"/>
                <w:b/>
                <w:color w:val="FFFFFF"/>
                <w:sz w:val="17"/>
              </w:rPr>
              <w:t>Tier</w:t>
            </w:r>
          </w:p>
        </w:tc>
        <w:tc>
          <w:tcPr>
            <w:tcW w:type="dxa" w:w="5225"/>
            <w:shd w:val="clear" w:color="auto" w:fill="1F3864"/>
          </w:tcPr>
          <w:p>
            <w:pPr>
              <w:spacing w:after="0" w:before="0"/>
            </w:pPr>
            <w:r/>
            <w:r>
              <w:rPr>
                <w:rFonts w:ascii="Arial" w:hAnsi="Arial"/>
                <w:b/>
                <w:color w:val="FFFFFF"/>
                <w:sz w:val="17"/>
              </w:rPr>
              <w:t>Counts as</w:t>
            </w:r>
          </w:p>
        </w:tc>
      </w:tr>
      <w:tr>
        <w:tc>
          <w:tcPr>
            <w:tcW w:type="dxa" w:w="2600"/>
          </w:tcPr>
          <w:p>
            <w:pPr>
              <w:spacing w:after="0" w:before="0"/>
            </w:pPr>
            <w:r>
              <w:rPr>
                <w:rFonts w:ascii="Arial" w:hAnsi="Arial"/>
                <w:b w:val="0"/>
                <w:sz w:val="17"/>
              </w:rPr>
              <w:t>Colorectal</w:t>
            </w:r>
          </w:p>
        </w:tc>
        <w:tc>
          <w:tcPr>
            <w:tcW w:type="dxa" w:w="1200"/>
          </w:tcPr>
          <w:p>
            <w:pPr>
              <w:spacing w:after="0" w:before="0"/>
            </w:pPr>
            <w:r>
              <w:rPr>
                <w:rFonts w:ascii="Arial" w:hAnsi="Arial"/>
                <w:b w:val="0"/>
                <w:sz w:val="17"/>
              </w:rPr>
              <w:t>Major</w:t>
            </w:r>
          </w:p>
        </w:tc>
        <w:tc>
          <w:tcPr>
            <w:tcW w:type="dxa" w:w="5225"/>
          </w:tcPr>
          <w:p>
            <w:pPr>
              <w:spacing w:after="0" w:before="0"/>
            </w:pPr>
            <w:r>
              <w:rPr>
                <w:rFonts w:ascii="Arial" w:hAnsi="Arial"/>
                <w:b w:val="0"/>
                <w:sz w:val="17"/>
              </w:rPr>
              <w:t>Colorectal major resection (colon and rectum) 100%</w:t>
            </w:r>
          </w:p>
        </w:tc>
      </w:tr>
      <w:tr>
        <w:tc>
          <w:tcPr>
            <w:tcW w:type="dxa" w:w="2600"/>
            <w:shd w:val="clear" w:color="auto" w:fill="F2F2F2"/>
          </w:tcPr>
          <w:p>
            <w:pPr>
              <w:spacing w:after="0" w:before="0"/>
            </w:pPr>
            <w:r>
              <w:rPr>
                <w:rFonts w:ascii="Arial" w:hAnsi="Arial"/>
                <w:b w:val="0"/>
                <w:sz w:val="17"/>
              </w:rPr>
              <w:t>Upper GI</w:t>
            </w:r>
          </w:p>
        </w:tc>
        <w:tc>
          <w:tcPr>
            <w:tcW w:type="dxa" w:w="1200"/>
            <w:shd w:val="clear" w:color="auto" w:fill="F2F2F2"/>
          </w:tcPr>
          <w:p>
            <w:pPr>
              <w:spacing w:after="0" w:before="0"/>
            </w:pPr>
            <w:r>
              <w:rPr>
                <w:rFonts w:ascii="Arial" w:hAnsi="Arial"/>
                <w:b w:val="0"/>
                <w:sz w:val="17"/>
              </w:rPr>
              <w:t>Minor</w:t>
            </w:r>
          </w:p>
        </w:tc>
        <w:tc>
          <w:tcPr>
            <w:tcW w:type="dxa" w:w="5225"/>
            <w:shd w:val="clear" w:color="auto" w:fill="F2F2F2"/>
          </w:tcPr>
          <w:p>
            <w:pPr>
              <w:spacing w:after="0" w:before="0"/>
            </w:pPr>
            <w:r>
              <w:rPr>
                <w:rFonts w:ascii="Arial" w:hAnsi="Arial"/>
                <w:b w:val="0"/>
                <w:sz w:val="17"/>
              </w:rPr>
              <w:t>Upper GI (anti-reflux and hiatal hernia) 100%</w:t>
            </w:r>
          </w:p>
        </w:tc>
      </w:tr>
      <w:tr>
        <w:tc>
          <w:tcPr>
            <w:tcW w:type="dxa" w:w="2600"/>
          </w:tcPr>
          <w:p>
            <w:pPr>
              <w:spacing w:after="0" w:before="0"/>
            </w:pPr>
            <w:r>
              <w:rPr>
                <w:rFonts w:ascii="Arial" w:hAnsi="Arial"/>
                <w:b w:val="0"/>
                <w:sz w:val="17"/>
              </w:rPr>
              <w:t>Abdominal wall</w:t>
            </w:r>
          </w:p>
        </w:tc>
        <w:tc>
          <w:tcPr>
            <w:tcW w:type="dxa" w:w="1200"/>
          </w:tcPr>
          <w:p>
            <w:pPr>
              <w:spacing w:after="0" w:before="0"/>
            </w:pPr>
            <w:r>
              <w:rPr>
                <w:rFonts w:ascii="Arial" w:hAnsi="Arial"/>
                <w:b w:val="0"/>
                <w:sz w:val="17"/>
              </w:rPr>
              <w:t>Major</w:t>
            </w:r>
          </w:p>
        </w:tc>
        <w:tc>
          <w:tcPr>
            <w:tcW w:type="dxa" w:w="5225"/>
          </w:tcPr>
          <w:p>
            <w:pPr>
              <w:spacing w:after="0" w:before="0"/>
            </w:pPr>
            <w:r>
              <w:rPr>
                <w:rFonts w:ascii="Arial" w:hAnsi="Arial"/>
                <w:b w:val="0"/>
                <w:sz w:val="17"/>
              </w:rPr>
              <w:t>Abdominal wall reconstruction 100%</w:t>
            </w:r>
          </w:p>
        </w:tc>
      </w:tr>
      <w:tr>
        <w:tc>
          <w:tcPr>
            <w:tcW w:type="dxa" w:w="2600"/>
            <w:shd w:val="clear" w:color="auto" w:fill="F2F2F2"/>
          </w:tcPr>
          <w:p>
            <w:pPr>
              <w:spacing w:after="0" w:before="0"/>
            </w:pPr>
            <w:r>
              <w:rPr>
                <w:rFonts w:ascii="Arial" w:hAnsi="Arial"/>
                <w:b w:val="0"/>
                <w:sz w:val="17"/>
              </w:rPr>
              <w:t>Urology: prostate</w:t>
            </w:r>
          </w:p>
        </w:tc>
        <w:tc>
          <w:tcPr>
            <w:tcW w:type="dxa" w:w="1200"/>
            <w:shd w:val="clear" w:color="auto" w:fill="F2F2F2"/>
          </w:tcPr>
          <w:p>
            <w:pPr>
              <w:spacing w:after="0" w:before="0"/>
            </w:pPr>
            <w:r>
              <w:rPr>
                <w:rFonts w:ascii="Arial" w:hAnsi="Arial"/>
                <w:b w:val="0"/>
                <w:sz w:val="17"/>
              </w:rPr>
              <w:t>Medium</w:t>
            </w:r>
          </w:p>
        </w:tc>
        <w:tc>
          <w:tcPr>
            <w:tcW w:type="dxa" w:w="5225"/>
            <w:shd w:val="clear" w:color="auto" w:fill="F2F2F2"/>
          </w:tcPr>
          <w:p>
            <w:pPr>
              <w:spacing w:after="0" w:before="0"/>
            </w:pPr>
            <w:r>
              <w:rPr>
                <w:rFonts w:ascii="Arial" w:hAnsi="Arial"/>
                <w:b w:val="0"/>
                <w:sz w:val="17"/>
              </w:rPr>
              <w:t>Radical prostatectomy 100%</w:t>
            </w:r>
          </w:p>
        </w:tc>
      </w:tr>
      <w:tr>
        <w:tc>
          <w:tcPr>
            <w:tcW w:type="dxa" w:w="2600"/>
          </w:tcPr>
          <w:p>
            <w:pPr>
              <w:spacing w:after="0" w:before="0"/>
            </w:pPr>
            <w:r>
              <w:rPr>
                <w:rFonts w:ascii="Arial" w:hAnsi="Arial"/>
                <w:b w:val="0"/>
                <w:sz w:val="17"/>
              </w:rPr>
              <w:t>Urology: kidney</w:t>
            </w:r>
          </w:p>
        </w:tc>
        <w:tc>
          <w:tcPr>
            <w:tcW w:type="dxa" w:w="1200"/>
          </w:tcPr>
          <w:p>
            <w:pPr>
              <w:spacing w:after="0" w:before="0"/>
            </w:pPr>
            <w:r>
              <w:rPr>
                <w:rFonts w:ascii="Arial" w:hAnsi="Arial"/>
                <w:b w:val="0"/>
                <w:sz w:val="17"/>
              </w:rPr>
              <w:t>Medium</w:t>
            </w:r>
          </w:p>
        </w:tc>
        <w:tc>
          <w:tcPr>
            <w:tcW w:type="dxa" w:w="5225"/>
          </w:tcPr>
          <w:p>
            <w:pPr>
              <w:spacing w:after="0" w:before="0"/>
            </w:pPr>
            <w:r>
              <w:rPr>
                <w:rFonts w:ascii="Arial" w:hAnsi="Arial"/>
                <w:b w:val="0"/>
                <w:sz w:val="17"/>
              </w:rPr>
              <w:t>Nephrectomy and partial nephrectomy 100%</w:t>
            </w:r>
          </w:p>
        </w:tc>
      </w:tr>
      <w:tr>
        <w:tc>
          <w:tcPr>
            <w:tcW w:type="dxa" w:w="2600"/>
            <w:shd w:val="clear" w:color="auto" w:fill="F2F2F2"/>
          </w:tcPr>
          <w:p>
            <w:pPr>
              <w:spacing w:after="0" w:before="0"/>
            </w:pPr>
            <w:r>
              <w:rPr>
                <w:rFonts w:ascii="Arial" w:hAnsi="Arial"/>
                <w:b w:val="0"/>
                <w:sz w:val="17"/>
              </w:rPr>
              <w:t>Urology: bladder</w:t>
            </w:r>
          </w:p>
        </w:tc>
        <w:tc>
          <w:tcPr>
            <w:tcW w:type="dxa" w:w="1200"/>
            <w:shd w:val="clear" w:color="auto" w:fill="F2F2F2"/>
          </w:tcPr>
          <w:p>
            <w:pPr>
              <w:spacing w:after="0" w:before="0"/>
            </w:pPr>
            <w:r>
              <w:rPr>
                <w:rFonts w:ascii="Arial" w:hAnsi="Arial"/>
                <w:b w:val="0"/>
                <w:sz w:val="17"/>
              </w:rPr>
              <w:t>Medium</w:t>
            </w:r>
          </w:p>
        </w:tc>
        <w:tc>
          <w:tcPr>
            <w:tcW w:type="dxa" w:w="5225"/>
            <w:shd w:val="clear" w:color="auto" w:fill="F2F2F2"/>
          </w:tcPr>
          <w:p>
            <w:pPr>
              <w:spacing w:after="0" w:before="0"/>
            </w:pPr>
            <w:r>
              <w:rPr>
                <w:rFonts w:ascii="Arial" w:hAnsi="Arial"/>
                <w:b w:val="0"/>
                <w:sz w:val="17"/>
              </w:rPr>
              <w:t>Radical cystectomy 100%</w:t>
            </w:r>
          </w:p>
        </w:tc>
      </w:tr>
      <w:tr>
        <w:tc>
          <w:tcPr>
            <w:tcW w:type="dxa" w:w="2600"/>
          </w:tcPr>
          <w:p>
            <w:pPr>
              <w:spacing w:after="0" w:before="0"/>
            </w:pPr>
            <w:r>
              <w:rPr>
                <w:rFonts w:ascii="Arial" w:hAnsi="Arial"/>
                <w:b w:val="0"/>
                <w:sz w:val="17"/>
              </w:rPr>
              <w:t>Gynaecology</w:t>
            </w:r>
          </w:p>
        </w:tc>
        <w:tc>
          <w:tcPr>
            <w:tcW w:type="dxa" w:w="1200"/>
          </w:tcPr>
          <w:p>
            <w:pPr>
              <w:spacing w:after="0" w:before="0"/>
            </w:pPr>
            <w:r>
              <w:rPr>
                <w:rFonts w:ascii="Arial" w:hAnsi="Arial"/>
                <w:b w:val="0"/>
                <w:sz w:val="17"/>
              </w:rPr>
              <w:t>Major</w:t>
            </w:r>
          </w:p>
        </w:tc>
        <w:tc>
          <w:tcPr>
            <w:tcW w:type="dxa" w:w="5225"/>
          </w:tcPr>
          <w:p>
            <w:pPr>
              <w:spacing w:after="0" w:before="0"/>
            </w:pPr>
            <w:r>
              <w:rPr>
                <w:rFonts w:ascii="Arial" w:hAnsi="Arial"/>
                <w:b w:val="0"/>
                <w:sz w:val="17"/>
              </w:rPr>
              <w:t>Hysterectomy (benign and malignant) 40%, Endometriosis excision 50%, Myomectomy 10%</w:t>
            </w:r>
          </w:p>
        </w:tc>
      </w:tr>
      <w:tr>
        <w:tc>
          <w:tcPr>
            <w:tcW w:type="dxa" w:w="2600"/>
            <w:shd w:val="clear" w:color="auto" w:fill="F2F2F2"/>
          </w:tcPr>
          <w:p>
            <w:pPr>
              <w:spacing w:after="0" w:before="0"/>
            </w:pPr>
            <w:r>
              <w:rPr>
                <w:rFonts w:ascii="Arial" w:hAnsi="Arial"/>
                <w:b w:val="0"/>
                <w:sz w:val="17"/>
              </w:rPr>
              <w:t>Gynaecology</w:t>
            </w:r>
          </w:p>
        </w:tc>
        <w:tc>
          <w:tcPr>
            <w:tcW w:type="dxa" w:w="1200"/>
            <w:shd w:val="clear" w:color="auto" w:fill="F2F2F2"/>
          </w:tcPr>
          <w:p>
            <w:pPr>
              <w:spacing w:after="0" w:before="0"/>
            </w:pPr>
            <w:r>
              <w:rPr>
                <w:rFonts w:ascii="Arial" w:hAnsi="Arial"/>
                <w:b w:val="0"/>
                <w:sz w:val="17"/>
              </w:rPr>
              <w:t>Minor</w:t>
            </w:r>
          </w:p>
        </w:tc>
        <w:tc>
          <w:tcPr>
            <w:tcW w:type="dxa" w:w="5225"/>
            <w:shd w:val="clear" w:color="auto" w:fill="F2F2F2"/>
          </w:tcPr>
          <w:p>
            <w:pPr>
              <w:spacing w:after="0" w:before="0"/>
            </w:pPr>
            <w:r>
              <w:rPr>
                <w:rFonts w:ascii="Arial" w:hAnsi="Arial"/>
                <w:b w:val="0"/>
                <w:sz w:val="17"/>
              </w:rPr>
              <w:t>Adnexal surgery 100%</w:t>
            </w:r>
          </w:p>
        </w:tc>
      </w:tr>
      <w:tr>
        <w:tc>
          <w:tcPr>
            <w:tcW w:type="dxa" w:w="2600"/>
          </w:tcPr>
          <w:p>
            <w:pPr>
              <w:spacing w:after="0" w:before="0"/>
            </w:pPr>
            <w:r>
              <w:rPr>
                <w:rFonts w:ascii="Arial" w:hAnsi="Arial"/>
                <w:b w:val="0"/>
                <w:sz w:val="17"/>
              </w:rPr>
              <w:t>Paediatric</w:t>
            </w:r>
          </w:p>
        </w:tc>
        <w:tc>
          <w:tcPr>
            <w:tcW w:type="dxa" w:w="1200"/>
          </w:tcPr>
          <w:p>
            <w:pPr>
              <w:spacing w:after="0" w:before="0"/>
            </w:pPr>
            <w:r>
              <w:rPr>
                <w:rFonts w:ascii="Arial" w:hAnsi="Arial"/>
                <w:b w:val="0"/>
                <w:sz w:val="17"/>
              </w:rPr>
              <w:t>Major</w:t>
            </w:r>
          </w:p>
        </w:tc>
        <w:tc>
          <w:tcPr>
            <w:tcW w:type="dxa" w:w="5225"/>
          </w:tcPr>
          <w:p>
            <w:pPr>
              <w:spacing w:after="0" w:before="0"/>
            </w:pPr>
            <w:r>
              <w:rPr>
                <w:rFonts w:ascii="Arial" w:hAnsi="Arial"/>
                <w:b w:val="0"/>
                <w:sz w:val="17"/>
              </w:rPr>
              <w:t>Paediatric (e.g. pyeloplasty, fundoplication) 100%</w:t>
            </w:r>
          </w:p>
        </w:tc>
      </w:tr>
      <w:tr>
        <w:tc>
          <w:tcPr>
            <w:tcW w:type="dxa" w:w="2600"/>
            <w:shd w:val="clear" w:color="auto" w:fill="F2F2F2"/>
          </w:tcPr>
          <w:p>
            <w:pPr>
              <w:spacing w:after="0" w:before="0"/>
            </w:pPr>
            <w:r>
              <w:rPr>
                <w:rFonts w:ascii="Arial" w:hAnsi="Arial"/>
                <w:b w:val="0"/>
                <w:sz w:val="17"/>
              </w:rPr>
              <w:t>Head and neck</w:t>
            </w:r>
          </w:p>
        </w:tc>
        <w:tc>
          <w:tcPr>
            <w:tcW w:type="dxa" w:w="1200"/>
            <w:shd w:val="clear" w:color="auto" w:fill="F2F2F2"/>
          </w:tcPr>
          <w:p>
            <w:pPr>
              <w:spacing w:after="0" w:before="0"/>
            </w:pPr>
            <w:r>
              <w:rPr>
                <w:rFonts w:ascii="Arial" w:hAnsi="Arial"/>
                <w:b w:val="0"/>
                <w:sz w:val="17"/>
              </w:rPr>
              <w:t>Major</w:t>
            </w:r>
          </w:p>
        </w:tc>
        <w:tc>
          <w:tcPr>
            <w:tcW w:type="dxa" w:w="5225"/>
            <w:shd w:val="clear" w:color="auto" w:fill="F2F2F2"/>
          </w:tcPr>
          <w:p>
            <w:pPr>
              <w:spacing w:after="0" w:before="0"/>
            </w:pPr>
            <w:r>
              <w:rPr>
                <w:rFonts w:ascii="Arial" w:hAnsi="Arial"/>
                <w:b w:val="0"/>
                <w:sz w:val="17"/>
              </w:rPr>
              <w:t>Head and neck (transoral robotic surgery) 100%</w:t>
            </w:r>
          </w:p>
        </w:tc>
      </w:tr>
      <w:tr>
        <w:tc>
          <w:tcPr>
            <w:tcW w:type="dxa" w:w="2600"/>
          </w:tcPr>
          <w:p>
            <w:pPr>
              <w:spacing w:after="0" w:before="0"/>
            </w:pPr>
            <w:r>
              <w:rPr>
                <w:rFonts w:ascii="Arial" w:hAnsi="Arial"/>
                <w:b w:val="0"/>
                <w:sz w:val="17"/>
              </w:rPr>
              <w:t>Any other list type or tier</w:t>
            </w:r>
          </w:p>
        </w:tc>
        <w:tc>
          <w:tcPr>
            <w:tcW w:type="dxa" w:w="1200"/>
          </w:tcPr>
          <w:p>
            <w:pPr>
              <w:spacing w:after="0" w:before="0"/>
            </w:pPr>
          </w:p>
        </w:tc>
        <w:tc>
          <w:tcPr>
            <w:tcW w:type="dxa" w:w="5225"/>
          </w:tcPr>
          <w:p>
            <w:pPr>
              <w:spacing w:after="0" w:before="0"/>
            </w:pPr>
            <w:r>
              <w:rPr>
                <w:rFonts w:ascii="Arial" w:hAnsi="Arial"/>
                <w:b w:val="0"/>
                <w:sz w:val="17"/>
              </w:rPr>
              <w:t>Not modelled</w:t>
            </w:r>
          </w:p>
        </w:tc>
      </w:tr>
    </w:tbl>
    <w:p/>
    <w:p>
      <w:pPr>
        <w:pStyle w:val="Heading3"/>
      </w:pPr>
      <w:r>
        <w:t>Tariff: extra income per robotic case (cash case only)</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000"/>
        <w:gridCol w:w="1600"/>
        <w:gridCol w:w="4426"/>
      </w:tblGrid>
      <w:tr>
        <w:trPr>
          <w:tblHeader w:val="true"/>
        </w:trPr>
        <w:tc>
          <w:tcPr>
            <w:tcW w:type="dxa" w:w="3000"/>
            <w:shd w:val="clear" w:color="auto" w:fill="1F3864"/>
          </w:tcPr>
          <w:p>
            <w:pPr>
              <w:spacing w:after="0" w:before="0"/>
            </w:pPr>
            <w:r/>
            <w:r>
              <w:rPr>
                <w:rFonts w:ascii="Arial" w:hAnsi="Arial"/>
                <w:b/>
                <w:color w:val="FFFFFF"/>
                <w:sz w:val="17"/>
              </w:rPr>
              <w:t>Procedure</w:t>
            </w:r>
          </w:p>
        </w:tc>
        <w:tc>
          <w:tcPr>
            <w:tcW w:type="dxa" w:w="1600"/>
            <w:shd w:val="clear" w:color="auto" w:fill="1F3864"/>
          </w:tcPr>
          <w:p>
            <w:pPr>
              <w:spacing w:after="0" w:before="0"/>
            </w:pPr>
            <w:r/>
            <w:r>
              <w:rPr>
                <w:rFonts w:ascii="Arial" w:hAnsi="Arial"/>
                <w:b/>
                <w:color w:val="FFFFFF"/>
                <w:sz w:val="17"/>
              </w:rPr>
              <w:t>Extra income per case</w:t>
            </w:r>
          </w:p>
        </w:tc>
        <w:tc>
          <w:tcPr>
            <w:tcW w:type="dxa" w:w="4425"/>
            <w:shd w:val="clear" w:color="auto" w:fill="1F3864"/>
          </w:tcPr>
          <w:p>
            <w:pPr>
              <w:spacing w:after="0" w:before="0"/>
            </w:pPr>
            <w:r/>
            <w:r>
              <w:rPr>
                <w:rFonts w:ascii="Arial" w:hAnsi="Arial"/>
                <w:b/>
                <w:color w:val="FFFFFF"/>
                <w:sz w:val="17"/>
              </w:rPr>
              <w:t>Source</w:t>
            </w:r>
          </w:p>
        </w:tc>
      </w:tr>
      <w:tr>
        <w:tc>
          <w:tcPr>
            <w:tcW w:type="dxa" w:w="3000"/>
          </w:tcPr>
          <w:p>
            <w:pPr>
              <w:spacing w:after="0" w:before="0"/>
            </w:pPr>
            <w:r>
              <w:rPr>
                <w:rFonts w:ascii="Arial" w:hAnsi="Arial"/>
                <w:b w:val="0"/>
                <w:sz w:val="17"/>
              </w:rPr>
              <w:t>Colorectal major resection (colon and rectum)</w:t>
            </w:r>
          </w:p>
        </w:tc>
        <w:tc>
          <w:tcPr>
            <w:tcW w:type="dxa" w:w="1600"/>
          </w:tcPr>
          <w:p>
            <w:pPr>
              <w:spacing w:after="0" w:before="0"/>
            </w:pPr>
            <w:r>
              <w:rPr>
                <w:rFonts w:ascii="Arial" w:hAnsi="Arial"/>
                <w:b w:val="0"/>
                <w:sz w:val="17"/>
              </w:rPr>
              <w:t>£0</w:t>
            </w:r>
          </w:p>
        </w:tc>
        <w:tc>
          <w:tcPr>
            <w:tcW w:type="dxa" w:w="4425"/>
          </w:tcPr>
          <w:p>
            <w:pPr>
              <w:spacing w:after="0" w:before="0"/>
            </w:pPr>
            <w:r>
              <w:rPr>
                <w:rFonts w:ascii="Arial" w:hAnsi="Arial"/>
                <w:b w:val="0"/>
                <w:sz w:val="17"/>
              </w:rPr>
              <w:t>No robotic price difference identified: £0.</w:t>
            </w:r>
          </w:p>
        </w:tc>
      </w:tr>
      <w:tr>
        <w:tc>
          <w:tcPr>
            <w:tcW w:type="dxa" w:w="3000"/>
            <w:shd w:val="clear" w:color="auto" w:fill="F2F2F2"/>
          </w:tcPr>
          <w:p>
            <w:pPr>
              <w:spacing w:after="0" w:before="0"/>
            </w:pPr>
            <w:r>
              <w:rPr>
                <w:rFonts w:ascii="Arial" w:hAnsi="Arial"/>
                <w:b w:val="0"/>
                <w:sz w:val="17"/>
              </w:rPr>
              <w:t>Nephrectomy and partial nephrectomy</w:t>
            </w:r>
          </w:p>
        </w:tc>
        <w:tc>
          <w:tcPr>
            <w:tcW w:type="dxa" w:w="1600"/>
            <w:shd w:val="clear" w:color="auto" w:fill="F2F2F2"/>
          </w:tcPr>
          <w:p>
            <w:pPr>
              <w:spacing w:after="0" w:before="0"/>
            </w:pPr>
            <w:r>
              <w:rPr>
                <w:rFonts w:ascii="Arial" w:hAnsi="Arial"/>
                <w:b w:val="0"/>
                <w:sz w:val="17"/>
              </w:rPr>
              <w:t>£0</w:t>
            </w:r>
          </w:p>
        </w:tc>
        <w:tc>
          <w:tcPr>
            <w:tcW w:type="dxa" w:w="4425"/>
            <w:shd w:val="clear" w:color="auto" w:fill="F2F2F2"/>
          </w:tcPr>
          <w:p>
            <w:pPr>
              <w:spacing w:after="0" w:before="0"/>
            </w:pPr>
            <w:r>
              <w:rPr>
                <w:rFonts w:ascii="Arial" w:hAnsi="Arial"/>
                <w:b w:val="0"/>
                <w:sz w:val="17"/>
              </w:rPr>
              <w:t>No robotic price difference identified: £0.</w:t>
            </w:r>
          </w:p>
        </w:tc>
      </w:tr>
      <w:tr>
        <w:tc>
          <w:tcPr>
            <w:tcW w:type="dxa" w:w="3000"/>
          </w:tcPr>
          <w:p>
            <w:pPr>
              <w:spacing w:after="0" w:before="0"/>
            </w:pPr>
            <w:r>
              <w:rPr>
                <w:rFonts w:ascii="Arial" w:hAnsi="Arial"/>
                <w:b w:val="0"/>
                <w:sz w:val="17"/>
              </w:rPr>
              <w:t>Hysterectomy (benign and malignant)</w:t>
            </w:r>
          </w:p>
        </w:tc>
        <w:tc>
          <w:tcPr>
            <w:tcW w:type="dxa" w:w="1600"/>
          </w:tcPr>
          <w:p>
            <w:pPr>
              <w:spacing w:after="0" w:before="0"/>
            </w:pPr>
            <w:r>
              <w:rPr>
                <w:rFonts w:ascii="Arial" w:hAnsi="Arial"/>
                <w:b w:val="0"/>
                <w:sz w:val="17"/>
              </w:rPr>
              <w:t>£0</w:t>
            </w:r>
          </w:p>
        </w:tc>
        <w:tc>
          <w:tcPr>
            <w:tcW w:type="dxa" w:w="4425"/>
          </w:tcPr>
          <w:p>
            <w:pPr>
              <w:spacing w:after="0" w:before="0"/>
            </w:pPr>
            <w:r>
              <w:rPr>
                <w:rFonts w:ascii="Arial" w:hAnsi="Arial"/>
                <w:b w:val="0"/>
                <w:sz w:val="17"/>
              </w:rPr>
              <w:t>No robotic price difference identified: £0.</w:t>
            </w:r>
          </w:p>
        </w:tc>
      </w:tr>
      <w:tr>
        <w:tc>
          <w:tcPr>
            <w:tcW w:type="dxa" w:w="3000"/>
            <w:shd w:val="clear" w:color="auto" w:fill="F2F2F2"/>
          </w:tcPr>
          <w:p>
            <w:pPr>
              <w:spacing w:after="0" w:before="0"/>
            </w:pPr>
            <w:r>
              <w:rPr>
                <w:rFonts w:ascii="Arial" w:hAnsi="Arial"/>
                <w:b w:val="0"/>
                <w:sz w:val="17"/>
              </w:rPr>
              <w:t>Myomectomy</w:t>
            </w:r>
          </w:p>
        </w:tc>
        <w:tc>
          <w:tcPr>
            <w:tcW w:type="dxa" w:w="1600"/>
            <w:shd w:val="clear" w:color="auto" w:fill="F2F2F2"/>
          </w:tcPr>
          <w:p>
            <w:pPr>
              <w:spacing w:after="0" w:before="0"/>
            </w:pPr>
            <w:r>
              <w:rPr>
                <w:rFonts w:ascii="Arial" w:hAnsi="Arial"/>
                <w:b w:val="0"/>
                <w:sz w:val="17"/>
              </w:rPr>
              <w:t>£0</w:t>
            </w:r>
          </w:p>
        </w:tc>
        <w:tc>
          <w:tcPr>
            <w:tcW w:type="dxa" w:w="4425"/>
            <w:shd w:val="clear" w:color="auto" w:fill="F2F2F2"/>
          </w:tcPr>
          <w:p>
            <w:pPr>
              <w:spacing w:after="0" w:before="0"/>
            </w:pPr>
            <w:r>
              <w:rPr>
                <w:rFonts w:ascii="Arial" w:hAnsi="Arial"/>
                <w:b w:val="0"/>
                <w:sz w:val="17"/>
              </w:rPr>
              <w:t>No robotic price difference identified: £0.</w:t>
            </w:r>
          </w:p>
        </w:tc>
      </w:tr>
      <w:tr>
        <w:tc>
          <w:tcPr>
            <w:tcW w:type="dxa" w:w="3000"/>
          </w:tcPr>
          <w:p>
            <w:pPr>
              <w:spacing w:after="0" w:before="0"/>
            </w:pPr>
            <w:r>
              <w:rPr>
                <w:rFonts w:ascii="Arial" w:hAnsi="Arial"/>
                <w:b w:val="0"/>
                <w:sz w:val="17"/>
              </w:rPr>
              <w:t>Endometriosis excision</w:t>
            </w:r>
          </w:p>
        </w:tc>
        <w:tc>
          <w:tcPr>
            <w:tcW w:type="dxa" w:w="1600"/>
          </w:tcPr>
          <w:p>
            <w:pPr>
              <w:spacing w:after="0" w:before="0"/>
            </w:pPr>
            <w:r>
              <w:rPr>
                <w:rFonts w:ascii="Arial" w:hAnsi="Arial"/>
                <w:b w:val="0"/>
                <w:sz w:val="17"/>
              </w:rPr>
              <w:t>£0</w:t>
            </w:r>
          </w:p>
        </w:tc>
        <w:tc>
          <w:tcPr>
            <w:tcW w:type="dxa" w:w="4425"/>
          </w:tcPr>
          <w:p>
            <w:pPr>
              <w:spacing w:after="0" w:before="0"/>
            </w:pPr>
            <w:r>
              <w:rPr>
                <w:rFonts w:ascii="Arial" w:hAnsi="Arial"/>
                <w:b w:val="0"/>
                <w:sz w:val="17"/>
              </w:rPr>
              <w:t>No robotic price difference identified: £0.</w:t>
            </w:r>
          </w:p>
        </w:tc>
      </w:tr>
      <w:tr>
        <w:tc>
          <w:tcPr>
            <w:tcW w:type="dxa" w:w="3000"/>
            <w:shd w:val="clear" w:color="auto" w:fill="F2F2F2"/>
          </w:tcPr>
          <w:p>
            <w:pPr>
              <w:spacing w:after="0" w:before="0"/>
            </w:pPr>
            <w:r>
              <w:rPr>
                <w:rFonts w:ascii="Arial" w:hAnsi="Arial"/>
                <w:b w:val="0"/>
                <w:sz w:val="17"/>
              </w:rPr>
              <w:t>Adnexal surgery</w:t>
            </w:r>
          </w:p>
        </w:tc>
        <w:tc>
          <w:tcPr>
            <w:tcW w:type="dxa" w:w="1600"/>
            <w:shd w:val="clear" w:color="auto" w:fill="F2F2F2"/>
          </w:tcPr>
          <w:p>
            <w:pPr>
              <w:spacing w:after="0" w:before="0"/>
            </w:pPr>
            <w:r>
              <w:rPr>
                <w:rFonts w:ascii="Arial" w:hAnsi="Arial"/>
                <w:b w:val="0"/>
                <w:sz w:val="17"/>
              </w:rPr>
              <w:t>£0</w:t>
            </w:r>
          </w:p>
        </w:tc>
        <w:tc>
          <w:tcPr>
            <w:tcW w:type="dxa" w:w="4425"/>
            <w:shd w:val="clear" w:color="auto" w:fill="F2F2F2"/>
          </w:tcPr>
          <w:p>
            <w:pPr>
              <w:spacing w:after="0" w:before="0"/>
            </w:pPr>
            <w:r>
              <w:rPr>
                <w:rFonts w:ascii="Arial" w:hAnsi="Arial"/>
                <w:b w:val="0"/>
                <w:sz w:val="17"/>
              </w:rPr>
              <w:t>No robotic price difference identified: £0.</w:t>
            </w:r>
          </w:p>
        </w:tc>
      </w:tr>
      <w:tr>
        <w:tc>
          <w:tcPr>
            <w:tcW w:type="dxa" w:w="3000"/>
          </w:tcPr>
          <w:p>
            <w:pPr>
              <w:spacing w:after="0" w:before="0"/>
            </w:pPr>
            <w:r>
              <w:rPr>
                <w:rFonts w:ascii="Arial" w:hAnsi="Arial"/>
                <w:b w:val="0"/>
                <w:sz w:val="17"/>
              </w:rPr>
              <w:t>Abdominal wall reconstruction</w:t>
            </w:r>
          </w:p>
        </w:tc>
        <w:tc>
          <w:tcPr>
            <w:tcW w:type="dxa" w:w="1600"/>
          </w:tcPr>
          <w:p>
            <w:pPr>
              <w:spacing w:after="0" w:before="0"/>
            </w:pPr>
            <w:r>
              <w:rPr>
                <w:rFonts w:ascii="Arial" w:hAnsi="Arial"/>
                <w:b w:val="0"/>
                <w:sz w:val="17"/>
              </w:rPr>
              <w:t>£0</w:t>
            </w:r>
          </w:p>
        </w:tc>
        <w:tc>
          <w:tcPr>
            <w:tcW w:type="dxa" w:w="4425"/>
          </w:tcPr>
          <w:p>
            <w:pPr>
              <w:spacing w:after="0" w:before="0"/>
            </w:pPr>
            <w:r>
              <w:rPr>
                <w:rFonts w:ascii="Arial" w:hAnsi="Arial"/>
                <w:b w:val="0"/>
                <w:sz w:val="17"/>
              </w:rPr>
              <w:t>No robotic price difference identified: £0.</w:t>
            </w:r>
          </w:p>
        </w:tc>
      </w:tr>
      <w:tr>
        <w:tc>
          <w:tcPr>
            <w:tcW w:type="dxa" w:w="3000"/>
            <w:shd w:val="clear" w:color="auto" w:fill="F2F2F2"/>
          </w:tcPr>
          <w:p>
            <w:pPr>
              <w:spacing w:after="0" w:before="0"/>
            </w:pPr>
            <w:r>
              <w:rPr>
                <w:rFonts w:ascii="Arial" w:hAnsi="Arial"/>
                <w:b w:val="0"/>
                <w:sz w:val="17"/>
              </w:rPr>
              <w:t>Upper GI (anti-reflux and hiatal hernia)</w:t>
            </w:r>
          </w:p>
        </w:tc>
        <w:tc>
          <w:tcPr>
            <w:tcW w:type="dxa" w:w="1600"/>
            <w:shd w:val="clear" w:color="auto" w:fill="F2F2F2"/>
          </w:tcPr>
          <w:p>
            <w:pPr>
              <w:spacing w:after="0" w:before="0"/>
            </w:pPr>
            <w:r>
              <w:rPr>
                <w:rFonts w:ascii="Arial" w:hAnsi="Arial"/>
                <w:b w:val="0"/>
                <w:sz w:val="17"/>
              </w:rPr>
              <w:t>£0</w:t>
            </w:r>
          </w:p>
        </w:tc>
        <w:tc>
          <w:tcPr>
            <w:tcW w:type="dxa" w:w="4425"/>
            <w:shd w:val="clear" w:color="auto" w:fill="F2F2F2"/>
          </w:tcPr>
          <w:p>
            <w:pPr>
              <w:spacing w:after="0" w:before="0"/>
            </w:pPr>
            <w:r>
              <w:rPr>
                <w:rFonts w:ascii="Arial" w:hAnsi="Arial"/>
                <w:b w:val="0"/>
                <w:sz w:val="17"/>
              </w:rPr>
              <w:t>No robotic price difference identified: £0.</w:t>
            </w:r>
          </w:p>
        </w:tc>
      </w:tr>
    </w:tbl>
    <w:p/>
    <w:p>
      <w:pPr>
        <w:pStyle w:val="Heading1"/>
      </w:pPr>
      <w:r>
        <w:t>Appendix B. Unit costs and programme settings</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400"/>
        <w:gridCol w:w="1600"/>
        <w:gridCol w:w="4026"/>
      </w:tblGrid>
      <w:tr>
        <w:trPr>
          <w:tblHeader w:val="true"/>
        </w:trPr>
        <w:tc>
          <w:tcPr>
            <w:tcW w:type="dxa" w:w="3400"/>
            <w:shd w:val="clear" w:color="auto" w:fill="1F3864"/>
          </w:tcPr>
          <w:p>
            <w:pPr>
              <w:spacing w:after="0" w:before="0"/>
            </w:pPr>
            <w:r/>
            <w:r>
              <w:rPr>
                <w:rFonts w:ascii="Arial" w:hAnsi="Arial"/>
                <w:b/>
                <w:color w:val="FFFFFF"/>
                <w:sz w:val="17"/>
              </w:rPr>
              <w:t>Input</w:t>
            </w:r>
          </w:p>
        </w:tc>
        <w:tc>
          <w:tcPr>
            <w:tcW w:type="dxa" w:w="1600"/>
            <w:shd w:val="clear" w:color="auto" w:fill="1F3864"/>
          </w:tcPr>
          <w:p>
            <w:pPr>
              <w:spacing w:after="0" w:before="0"/>
            </w:pPr>
            <w:r/>
            <w:r>
              <w:rPr>
                <w:rFonts w:ascii="Arial" w:hAnsi="Arial"/>
                <w:b/>
                <w:color w:val="FFFFFF"/>
                <w:sz w:val="17"/>
              </w:rPr>
              <w:t>Value</w:t>
            </w:r>
          </w:p>
        </w:tc>
        <w:tc>
          <w:tcPr>
            <w:tcW w:type="dxa" w:w="4025"/>
            <w:shd w:val="clear" w:color="auto" w:fill="1F3864"/>
          </w:tcPr>
          <w:p>
            <w:pPr>
              <w:spacing w:after="0" w:before="0"/>
            </w:pPr>
            <w:r/>
            <w:r>
              <w:rPr>
                <w:rFonts w:ascii="Arial" w:hAnsi="Arial"/>
                <w:b/>
                <w:color w:val="FFFFFF"/>
                <w:sz w:val="17"/>
              </w:rPr>
              <w:t>Note</w:t>
            </w:r>
          </w:p>
        </w:tc>
      </w:tr>
      <w:tr>
        <w:tc>
          <w:tcPr>
            <w:tcW w:type="dxa" w:w="3400"/>
          </w:tcPr>
          <w:p>
            <w:pPr>
              <w:spacing w:after="0" w:before="0"/>
            </w:pPr>
            <w:r>
              <w:rPr>
                <w:rFonts w:ascii="Arial" w:hAnsi="Arial"/>
                <w:b w:val="0"/>
                <w:sz w:val="17"/>
              </w:rPr>
              <w:t>Excess bed-day</w:t>
            </w:r>
          </w:p>
        </w:tc>
        <w:tc>
          <w:tcPr>
            <w:tcW w:type="dxa" w:w="1600"/>
          </w:tcPr>
          <w:p>
            <w:pPr>
              <w:spacing w:after="0" w:before="0"/>
            </w:pPr>
            <w:r>
              <w:rPr>
                <w:rFonts w:ascii="Arial" w:hAnsi="Arial"/>
                <w:b w:val="0"/>
                <w:sz w:val="17"/>
              </w:rPr>
              <w:t>£400</w:t>
            </w:r>
          </w:p>
        </w:tc>
        <w:tc>
          <w:tcPr>
            <w:tcW w:type="dxa" w:w="4025"/>
          </w:tcPr>
          <w:p>
            <w:pPr>
              <w:spacing w:after="0" w:before="0"/>
            </w:pPr>
            <w:r>
              <w:rPr>
                <w:rFonts w:ascii="Arial" w:hAnsi="Arial"/>
                <w:b w:val="0"/>
                <w:sz w:val="17"/>
              </w:rPr>
              <w:t>Excess ward bed-day placeholder (single-trust FOI, 2023/24: £379 including ward costs and overheads, rounded up). The national average elective inpatient cost per bed-day was £1,198 in 2024/25, but this includes treatment costs and overstates the value of a day saved at the end of a stay. Bed-days are cost avoided, not cash released, and are not deducted from the extra cost to the trust.</w:t>
            </w:r>
          </w:p>
        </w:tc>
      </w:tr>
      <w:tr>
        <w:tc>
          <w:tcPr>
            <w:tcW w:type="dxa" w:w="3400"/>
            <w:shd w:val="clear" w:color="auto" w:fill="F2F2F2"/>
          </w:tcPr>
          <w:p>
            <w:pPr>
              <w:spacing w:after="0" w:before="0"/>
            </w:pPr>
            <w:r>
              <w:rPr>
                <w:rFonts w:ascii="Arial" w:hAnsi="Arial"/>
                <w:b w:val="0"/>
                <w:sz w:val="17"/>
              </w:rPr>
              <w:t>Return to theatre (non-ward)</w:t>
            </w:r>
          </w:p>
        </w:tc>
        <w:tc>
          <w:tcPr>
            <w:tcW w:type="dxa" w:w="1600"/>
            <w:shd w:val="clear" w:color="auto" w:fill="F2F2F2"/>
          </w:tcPr>
          <w:p>
            <w:pPr>
              <w:spacing w:after="0" w:before="0"/>
            </w:pPr>
            <w:r>
              <w:rPr>
                <w:rFonts w:ascii="Arial" w:hAnsi="Arial"/>
                <w:b w:val="0"/>
                <w:sz w:val="17"/>
              </w:rPr>
              <w:t>£6,000</w:t>
            </w:r>
          </w:p>
        </w:tc>
        <w:tc>
          <w:tcPr>
            <w:tcW w:type="dxa" w:w="4025"/>
            <w:shd w:val="clear" w:color="auto" w:fill="F2F2F2"/>
          </w:tcPr>
          <w:p>
            <w:pPr>
              <w:spacing w:after="0" w:before="0"/>
            </w:pPr>
            <w:r>
              <w:rPr>
                <w:rFonts w:ascii="Arial" w:hAnsi="Arial"/>
                <w:b w:val="0"/>
                <w:sz w:val="17"/>
              </w:rPr>
              <w:t>Best-available estimate pending specialty review (placeholder).</w:t>
            </w:r>
          </w:p>
        </w:tc>
      </w:tr>
      <w:tr>
        <w:tc>
          <w:tcPr>
            <w:tcW w:type="dxa" w:w="3400"/>
          </w:tcPr>
          <w:p>
            <w:pPr>
              <w:spacing w:after="0" w:before="0"/>
            </w:pPr>
            <w:r>
              <w:rPr>
                <w:rFonts w:ascii="Arial" w:hAnsi="Arial"/>
                <w:b w:val="0"/>
                <w:sz w:val="17"/>
              </w:rPr>
              <w:t>Major complication (non-ward)</w:t>
            </w:r>
          </w:p>
        </w:tc>
        <w:tc>
          <w:tcPr>
            <w:tcW w:type="dxa" w:w="1600"/>
          </w:tcPr>
          <w:p>
            <w:pPr>
              <w:spacing w:after="0" w:before="0"/>
            </w:pPr>
            <w:r>
              <w:rPr>
                <w:rFonts w:ascii="Arial" w:hAnsi="Arial"/>
                <w:b w:val="0"/>
                <w:sz w:val="17"/>
              </w:rPr>
              <w:t>£4,000</w:t>
            </w:r>
          </w:p>
        </w:tc>
        <w:tc>
          <w:tcPr>
            <w:tcW w:type="dxa" w:w="4025"/>
          </w:tcPr>
          <w:p>
            <w:pPr>
              <w:spacing w:after="0" w:before="0"/>
            </w:pPr>
            <w:r>
              <w:rPr>
                <w:rFonts w:ascii="Arial" w:hAnsi="Arial"/>
                <w:b w:val="0"/>
                <w:sz w:val="17"/>
              </w:rPr>
              <w:t>Best-available estimate pending specialty review (placeholder).</w:t>
            </w:r>
          </w:p>
        </w:tc>
      </w:tr>
      <w:tr>
        <w:tc>
          <w:tcPr>
            <w:tcW w:type="dxa" w:w="3400"/>
            <w:shd w:val="clear" w:color="auto" w:fill="F2F2F2"/>
          </w:tcPr>
          <w:p>
            <w:pPr>
              <w:spacing w:after="0" w:before="0"/>
            </w:pPr>
            <w:r>
              <w:rPr>
                <w:rFonts w:ascii="Arial" w:hAnsi="Arial"/>
                <w:b w:val="0"/>
                <w:sz w:val="17"/>
              </w:rPr>
              <w:t>Readmission (full spell)</w:t>
            </w:r>
          </w:p>
        </w:tc>
        <w:tc>
          <w:tcPr>
            <w:tcW w:type="dxa" w:w="1600"/>
            <w:shd w:val="clear" w:color="auto" w:fill="F2F2F2"/>
          </w:tcPr>
          <w:p>
            <w:pPr>
              <w:spacing w:after="0" w:before="0"/>
            </w:pPr>
            <w:r>
              <w:rPr>
                <w:rFonts w:ascii="Arial" w:hAnsi="Arial"/>
                <w:b w:val="0"/>
                <w:sz w:val="17"/>
              </w:rPr>
              <w:t>£2,500</w:t>
            </w:r>
          </w:p>
        </w:tc>
        <w:tc>
          <w:tcPr>
            <w:tcW w:type="dxa" w:w="4025"/>
            <w:shd w:val="clear" w:color="auto" w:fill="F2F2F2"/>
          </w:tcPr>
          <w:p>
            <w:pPr>
              <w:spacing w:after="0" w:before="0"/>
            </w:pPr>
            <w:r>
              <w:rPr>
                <w:rFonts w:ascii="Arial" w:hAnsi="Arial"/>
                <w:b w:val="0"/>
                <w:sz w:val="17"/>
              </w:rPr>
              <w:t>Best-available estimate pending specialty review (placeholder).</w:t>
            </w:r>
          </w:p>
        </w:tc>
      </w:tr>
      <w:tr>
        <w:tc>
          <w:tcPr>
            <w:tcW w:type="dxa" w:w="3400"/>
          </w:tcPr>
          <w:p>
            <w:pPr>
              <w:spacing w:after="0" w:before="0"/>
            </w:pPr>
            <w:r>
              <w:rPr>
                <w:rFonts w:ascii="Arial" w:hAnsi="Arial"/>
                <w:b w:val="0"/>
                <w:sz w:val="17"/>
              </w:rPr>
              <w:t>Conversion to open (non-ward)</w:t>
            </w:r>
          </w:p>
        </w:tc>
        <w:tc>
          <w:tcPr>
            <w:tcW w:type="dxa" w:w="1600"/>
          </w:tcPr>
          <w:p>
            <w:pPr>
              <w:spacing w:after="0" w:before="0"/>
            </w:pPr>
            <w:r>
              <w:rPr>
                <w:rFonts w:ascii="Arial" w:hAnsi="Arial"/>
                <w:b w:val="0"/>
                <w:sz w:val="17"/>
              </w:rPr>
              <w:t>£1,000</w:t>
            </w:r>
          </w:p>
        </w:tc>
        <w:tc>
          <w:tcPr>
            <w:tcW w:type="dxa" w:w="4025"/>
          </w:tcPr>
          <w:p>
            <w:pPr>
              <w:spacing w:after="0" w:before="0"/>
            </w:pPr>
            <w:r>
              <w:rPr>
                <w:rFonts w:ascii="Arial" w:hAnsi="Arial"/>
                <w:b w:val="0"/>
                <w:sz w:val="17"/>
              </w:rPr>
              <w:t>Best-available estimate pending specialty review (placeholder).</w:t>
            </w:r>
          </w:p>
        </w:tc>
      </w:tr>
      <w:tr>
        <w:tc>
          <w:tcPr>
            <w:tcW w:type="dxa" w:w="3400"/>
            <w:shd w:val="clear" w:color="auto" w:fill="F2F2F2"/>
          </w:tcPr>
          <w:p>
            <w:pPr>
              <w:spacing w:after="0" w:before="0"/>
            </w:pPr>
            <w:r>
              <w:rPr>
                <w:rFonts w:ascii="Arial" w:hAnsi="Arial"/>
                <w:b w:val="0"/>
                <w:sz w:val="17"/>
              </w:rPr>
              <w:t>Extra theatre minute</w:t>
            </w:r>
          </w:p>
        </w:tc>
        <w:tc>
          <w:tcPr>
            <w:tcW w:type="dxa" w:w="1600"/>
            <w:shd w:val="clear" w:color="auto" w:fill="F2F2F2"/>
          </w:tcPr>
          <w:p>
            <w:pPr>
              <w:spacing w:after="0" w:before="0"/>
            </w:pPr>
            <w:r>
              <w:rPr>
                <w:rFonts w:ascii="Arial" w:hAnsi="Arial"/>
                <w:b w:val="0"/>
                <w:sz w:val="17"/>
              </w:rPr>
              <w:t>£12</w:t>
            </w:r>
          </w:p>
        </w:tc>
        <w:tc>
          <w:tcPr>
            <w:tcW w:type="dxa" w:w="4025"/>
            <w:shd w:val="clear" w:color="auto" w:fill="F2F2F2"/>
          </w:tcPr>
          <w:p>
            <w:pPr>
              <w:spacing w:after="0" w:before="0"/>
            </w:pPr>
            <w:r>
              <w:rPr>
                <w:rFonts w:ascii="Arial" w:hAnsi="Arial"/>
                <w:b w:val="0"/>
                <w:sz w:val="17"/>
              </w:rPr>
              <w:t>Costed by default, which is conservative. Placeholder.</w:t>
            </w:r>
          </w:p>
        </w:tc>
      </w:tr>
      <w:tr>
        <w:tc>
          <w:tcPr>
            <w:tcW w:type="dxa" w:w="3400"/>
          </w:tcPr>
          <w:p>
            <w:pPr>
              <w:spacing w:after="0" w:before="0"/>
            </w:pPr>
            <w:r>
              <w:rPr>
                <w:rFonts w:ascii="Arial" w:hAnsi="Arial"/>
                <w:b w:val="0"/>
                <w:sz w:val="17"/>
              </w:rPr>
              <w:t>Sterile services per robotic case</w:t>
            </w:r>
          </w:p>
        </w:tc>
        <w:tc>
          <w:tcPr>
            <w:tcW w:type="dxa" w:w="1600"/>
          </w:tcPr>
          <w:p>
            <w:pPr>
              <w:spacing w:after="0" w:before="0"/>
            </w:pPr>
            <w:r>
              <w:rPr>
                <w:rFonts w:ascii="Arial" w:hAnsi="Arial"/>
                <w:b w:val="0"/>
                <w:sz w:val="17"/>
              </w:rPr>
              <w:t>£75</w:t>
            </w:r>
          </w:p>
        </w:tc>
        <w:tc>
          <w:tcPr>
            <w:tcW w:type="dxa" w:w="4025"/>
          </w:tcPr>
          <w:p>
            <w:pPr>
              <w:spacing w:after="0" w:before="0"/>
            </w:pPr>
            <w:r>
              <w:rPr>
                <w:rFonts w:ascii="Arial" w:hAnsi="Arial"/>
                <w:b w:val="0"/>
                <w:sz w:val="17"/>
              </w:rPr>
              <w:t>Placeholder; replace with the local sterile services charge.</w:t>
            </w:r>
          </w:p>
        </w:tc>
      </w:tr>
      <w:tr>
        <w:tc>
          <w:tcPr>
            <w:tcW w:type="dxa" w:w="3400"/>
            <w:shd w:val="clear" w:color="auto" w:fill="F2F2F2"/>
          </w:tcPr>
          <w:p>
            <w:pPr>
              <w:spacing w:after="0" w:before="0"/>
            </w:pPr>
            <w:r>
              <w:rPr>
                <w:rFonts w:ascii="Arial" w:hAnsi="Arial"/>
                <w:b w:val="0"/>
                <w:sz w:val="17"/>
              </w:rPr>
              <w:t>Surgical first assistant</w:t>
            </w:r>
          </w:p>
        </w:tc>
        <w:tc>
          <w:tcPr>
            <w:tcW w:type="dxa" w:w="1600"/>
            <w:shd w:val="clear" w:color="auto" w:fill="F2F2F2"/>
          </w:tcPr>
          <w:p>
            <w:pPr>
              <w:spacing w:after="0" w:before="0"/>
            </w:pPr>
            <w:r>
              <w:rPr>
                <w:rFonts w:ascii="Arial" w:hAnsi="Arial"/>
                <w:b w:val="0"/>
                <w:sz w:val="17"/>
              </w:rPr>
              <w:t>1 WTE per robot at £60,000</w:t>
            </w:r>
          </w:p>
        </w:tc>
        <w:tc>
          <w:tcPr>
            <w:tcW w:type="dxa" w:w="4025"/>
            <w:shd w:val="clear" w:color="auto" w:fill="F2F2F2"/>
          </w:tcPr>
          <w:p>
            <w:pPr>
              <w:spacing w:after="0" w:before="0"/>
            </w:pPr>
            <w:r>
              <w:rPr>
                <w:rFonts w:ascii="Arial" w:hAnsi="Arial"/>
                <w:b w:val="0"/>
                <w:sz w:val="17"/>
              </w:rPr>
              <w:t>National guidance says provision should be built into the business case (GIRFT 2025); cost is a placeholder. Use local pay rates.</w:t>
            </w:r>
          </w:p>
        </w:tc>
      </w:tr>
      <w:tr>
        <w:tc>
          <w:tcPr>
            <w:tcW w:type="dxa" w:w="3400"/>
          </w:tcPr>
          <w:p>
            <w:pPr>
              <w:spacing w:after="0" w:before="0"/>
            </w:pPr>
            <w:r>
              <w:rPr>
                <w:rFonts w:ascii="Arial" w:hAnsi="Arial"/>
                <w:b w:val="0"/>
                <w:sz w:val="17"/>
              </w:rPr>
              <w:t>Theatre works per robot (one-off)</w:t>
            </w:r>
          </w:p>
        </w:tc>
        <w:tc>
          <w:tcPr>
            <w:tcW w:type="dxa" w:w="1600"/>
          </w:tcPr>
          <w:p>
            <w:pPr>
              <w:spacing w:after="0" w:before="0"/>
            </w:pPr>
            <w:r>
              <w:rPr>
                <w:rFonts w:ascii="Arial" w:hAnsi="Arial"/>
                <w:b w:val="0"/>
                <w:sz w:val="17"/>
              </w:rPr>
              <w:t>£50,000</w:t>
            </w:r>
          </w:p>
        </w:tc>
        <w:tc>
          <w:tcPr>
            <w:tcW w:type="dxa" w:w="4025"/>
          </w:tcPr>
          <w:p>
            <w:pPr>
              <w:spacing w:after="0" w:before="0"/>
            </w:pPr>
            <w:r>
              <w:rPr>
                <w:rFonts w:ascii="Arial" w:hAnsi="Arial"/>
                <w:b w:val="0"/>
                <w:sz w:val="17"/>
              </w:rPr>
              <w:t>Placeholder; confirm with estates.</w:t>
            </w:r>
          </w:p>
        </w:tc>
      </w:tr>
      <w:tr>
        <w:tc>
          <w:tcPr>
            <w:tcW w:type="dxa" w:w="3400"/>
            <w:shd w:val="clear" w:color="auto" w:fill="F2F2F2"/>
          </w:tcPr>
          <w:p>
            <w:pPr>
              <w:spacing w:after="0" w:before="0"/>
            </w:pPr>
            <w:r>
              <w:rPr>
                <w:rFonts w:ascii="Arial" w:hAnsi="Arial"/>
                <w:b w:val="0"/>
                <w:sz w:val="17"/>
              </w:rPr>
              <w:t>Implementation, training and proctoring per robot</w:t>
            </w:r>
          </w:p>
        </w:tc>
        <w:tc>
          <w:tcPr>
            <w:tcW w:type="dxa" w:w="1600"/>
            <w:shd w:val="clear" w:color="auto" w:fill="F2F2F2"/>
          </w:tcPr>
          <w:p>
            <w:pPr>
              <w:spacing w:after="0" w:before="0"/>
            </w:pPr>
            <w:r>
              <w:rPr>
                <w:rFonts w:ascii="Arial" w:hAnsi="Arial"/>
                <w:b w:val="0"/>
                <w:sz w:val="17"/>
              </w:rPr>
              <w:t>£75,000</w:t>
            </w:r>
          </w:p>
        </w:tc>
        <w:tc>
          <w:tcPr>
            <w:tcW w:type="dxa" w:w="4025"/>
            <w:shd w:val="clear" w:color="auto" w:fill="F2F2F2"/>
          </w:tcPr>
          <w:p>
            <w:pPr>
              <w:spacing w:after="0" w:before="0"/>
            </w:pPr>
            <w:r>
              <w:rPr>
                <w:rFonts w:ascii="Arial" w:hAnsi="Arial"/>
                <w:b w:val="0"/>
                <w:sz w:val="17"/>
              </w:rPr>
              <w:t>One-off, year 1. Placeholder.</w:t>
            </w:r>
          </w:p>
        </w:tc>
      </w:tr>
      <w:tr>
        <w:tc>
          <w:tcPr>
            <w:tcW w:type="dxa" w:w="3400"/>
          </w:tcPr>
          <w:p>
            <w:pPr>
              <w:spacing w:after="0" w:before="0"/>
            </w:pPr>
            <w:r>
              <w:rPr>
                <w:rFonts w:ascii="Arial" w:hAnsi="Arial"/>
                <w:b w:val="0"/>
                <w:sz w:val="17"/>
              </w:rPr>
              <w:t>Operating weeks per year</w:t>
            </w:r>
          </w:p>
        </w:tc>
        <w:tc>
          <w:tcPr>
            <w:tcW w:type="dxa" w:w="1600"/>
          </w:tcPr>
          <w:p>
            <w:pPr>
              <w:spacing w:after="0" w:before="0"/>
            </w:pPr>
            <w:r>
              <w:rPr>
                <w:rFonts w:ascii="Arial" w:hAnsi="Arial"/>
                <w:b w:val="0"/>
                <w:sz w:val="17"/>
              </w:rPr>
              <w:t>45</w:t>
            </w:r>
          </w:p>
        </w:tc>
        <w:tc>
          <w:tcPr>
            <w:tcW w:type="dxa" w:w="4025"/>
          </w:tcPr>
          <w:p>
            <w:pPr>
              <w:spacing w:after="0" w:before="0"/>
            </w:pPr>
          </w:p>
        </w:tc>
      </w:tr>
      <w:tr>
        <w:tc>
          <w:tcPr>
            <w:tcW w:type="dxa" w:w="3400"/>
            <w:shd w:val="clear" w:color="auto" w:fill="F2F2F2"/>
          </w:tcPr>
          <w:p>
            <w:pPr>
              <w:spacing w:after="0" w:before="0"/>
            </w:pPr>
            <w:r>
              <w:rPr>
                <w:rFonts w:ascii="Arial" w:hAnsi="Arial"/>
                <w:b w:val="0"/>
                <w:sz w:val="17"/>
              </w:rPr>
              <w:t>Sessions per robot per week</w:t>
            </w:r>
          </w:p>
        </w:tc>
        <w:tc>
          <w:tcPr>
            <w:tcW w:type="dxa" w:w="1600"/>
            <w:shd w:val="clear" w:color="auto" w:fill="F2F2F2"/>
          </w:tcPr>
          <w:p>
            <w:pPr>
              <w:spacing w:after="0" w:before="0"/>
            </w:pPr>
            <w:r>
              <w:rPr>
                <w:rFonts w:ascii="Arial" w:hAnsi="Arial"/>
                <w:b w:val="0"/>
                <w:sz w:val="17"/>
              </w:rPr>
              <w:t>9</w:t>
            </w:r>
          </w:p>
        </w:tc>
        <w:tc>
          <w:tcPr>
            <w:tcW w:type="dxa" w:w="4025"/>
            <w:shd w:val="clear" w:color="auto" w:fill="F2F2F2"/>
          </w:tcPr>
          <w:p>
            <w:pPr>
              <w:spacing w:after="0" w:before="0"/>
            </w:pPr>
            <w:r>
              <w:rPr>
                <w:rFonts w:ascii="Arial" w:hAnsi="Arial"/>
                <w:b w:val="0"/>
                <w:sz w:val="17"/>
              </w:rPr>
              <w:t>One slot kept for maintenance.</w:t>
            </w:r>
          </w:p>
        </w:tc>
      </w:tr>
      <w:tr>
        <w:tc>
          <w:tcPr>
            <w:tcW w:type="dxa" w:w="3400"/>
          </w:tcPr>
          <w:p>
            <w:pPr>
              <w:spacing w:after="0" w:before="0"/>
            </w:pPr>
            <w:r>
              <w:rPr>
                <w:rFonts w:ascii="Arial" w:hAnsi="Arial"/>
                <w:b w:val="0"/>
                <w:sz w:val="17"/>
              </w:rPr>
              <w:t>Cases per robot per year: advisory level</w:t>
            </w:r>
          </w:p>
        </w:tc>
        <w:tc>
          <w:tcPr>
            <w:tcW w:type="dxa" w:w="1600"/>
          </w:tcPr>
          <w:p>
            <w:pPr>
              <w:spacing w:after="0" w:before="0"/>
            </w:pPr>
            <w:r>
              <w:rPr>
                <w:rFonts w:ascii="Arial" w:hAnsi="Arial"/>
                <w:b w:val="0"/>
                <w:sz w:val="17"/>
              </w:rPr>
              <w:t>700</w:t>
            </w:r>
          </w:p>
        </w:tc>
        <w:tc>
          <w:tcPr>
            <w:tcW w:type="dxa" w:w="4025"/>
          </w:tcPr>
          <w:p>
            <w:pPr>
              <w:spacing w:after="0" w:before="0"/>
            </w:pPr>
            <w:r>
              <w:rPr>
                <w:rFonts w:ascii="Arial" w:hAnsi="Arial"/>
                <w:b w:val="0"/>
                <w:sz w:val="17"/>
              </w:rPr>
              <w:t>Amber guardrail above this level; activity is not cut.</w:t>
            </w:r>
          </w:p>
        </w:tc>
      </w:tr>
      <w:tr>
        <w:tc>
          <w:tcPr>
            <w:tcW w:type="dxa" w:w="3400"/>
            <w:shd w:val="clear" w:color="auto" w:fill="F2F2F2"/>
          </w:tcPr>
          <w:p>
            <w:pPr>
              <w:spacing w:after="0" w:before="0"/>
            </w:pPr>
            <w:r>
              <w:rPr>
                <w:rFonts w:ascii="Arial" w:hAnsi="Arial"/>
                <w:b w:val="0"/>
                <w:sz w:val="17"/>
              </w:rPr>
              <w:t>Minimum list fill</w:t>
            </w:r>
          </w:p>
        </w:tc>
        <w:tc>
          <w:tcPr>
            <w:tcW w:type="dxa" w:w="1600"/>
            <w:shd w:val="clear" w:color="auto" w:fill="F2F2F2"/>
          </w:tcPr>
          <w:p>
            <w:pPr>
              <w:spacing w:after="0" w:before="0"/>
            </w:pPr>
            <w:r>
              <w:rPr>
                <w:rFonts w:ascii="Arial" w:hAnsi="Arial"/>
                <w:b w:val="0"/>
                <w:sz w:val="17"/>
              </w:rPr>
              <w:t>75%</w:t>
            </w:r>
          </w:p>
        </w:tc>
        <w:tc>
          <w:tcPr>
            <w:tcW w:type="dxa" w:w="4025"/>
            <w:shd w:val="clear" w:color="auto" w:fill="F2F2F2"/>
          </w:tcPr>
          <w:p>
            <w:pPr>
              <w:spacing w:after="0" w:before="0"/>
            </w:pPr>
            <w:r>
              <w:rPr>
                <w:rFonts w:ascii="Arial" w:hAnsi="Arial"/>
                <w:b w:val="0"/>
                <w:sz w:val="17"/>
              </w:rPr>
              <w:t>Lists below this fill are flagged.</w:t>
            </w:r>
          </w:p>
        </w:tc>
      </w:tr>
      <w:tr>
        <w:tc>
          <w:tcPr>
            <w:tcW w:type="dxa" w:w="3400"/>
          </w:tcPr>
          <w:p>
            <w:pPr>
              <w:spacing w:after="0" w:before="0"/>
            </w:pPr>
            <w:r>
              <w:rPr>
                <w:rFonts w:ascii="Arial" w:hAnsi="Arial"/>
                <w:b w:val="0"/>
                <w:sz w:val="17"/>
              </w:rPr>
              <w:t>Maximum cases per session</w:t>
            </w:r>
          </w:p>
        </w:tc>
        <w:tc>
          <w:tcPr>
            <w:tcW w:type="dxa" w:w="1600"/>
          </w:tcPr>
          <w:p>
            <w:pPr>
              <w:spacing w:after="0" w:before="0"/>
            </w:pPr>
            <w:r>
              <w:rPr>
                <w:rFonts w:ascii="Arial" w:hAnsi="Arial"/>
                <w:b w:val="0"/>
                <w:sz w:val="17"/>
              </w:rPr>
              <w:t>3</w:t>
            </w:r>
          </w:p>
        </w:tc>
        <w:tc>
          <w:tcPr>
            <w:tcW w:type="dxa" w:w="4025"/>
          </w:tcPr>
          <w:p>
            <w:pPr>
              <w:spacing w:after="0" w:before="0"/>
            </w:pPr>
            <w:r>
              <w:rPr>
                <w:rFonts w:ascii="Arial" w:hAnsi="Arial"/>
                <w:b w:val="0"/>
                <w:sz w:val="17"/>
              </w:rPr>
              <w:t>Template entries above this are flagged.</w:t>
            </w:r>
          </w:p>
        </w:tc>
      </w:tr>
      <w:tr>
        <w:tc>
          <w:tcPr>
            <w:tcW w:type="dxa" w:w="3400"/>
            <w:shd w:val="clear" w:color="auto" w:fill="F2F2F2"/>
          </w:tcPr>
          <w:p>
            <w:pPr>
              <w:spacing w:after="0" w:before="0"/>
            </w:pPr>
            <w:r>
              <w:rPr>
                <w:rFonts w:ascii="Arial" w:hAnsi="Arial"/>
                <w:b w:val="0"/>
                <w:sz w:val="17"/>
              </w:rPr>
              <w:t>Share of templated cases that go ahead</w:t>
            </w:r>
          </w:p>
        </w:tc>
        <w:tc>
          <w:tcPr>
            <w:tcW w:type="dxa" w:w="1600"/>
            <w:shd w:val="clear" w:color="auto" w:fill="F2F2F2"/>
          </w:tcPr>
          <w:p>
            <w:pPr>
              <w:spacing w:after="0" w:before="0"/>
            </w:pPr>
            <w:r>
              <w:rPr>
                <w:rFonts w:ascii="Arial" w:hAnsi="Arial"/>
                <w:b w:val="0"/>
                <w:sz w:val="17"/>
              </w:rPr>
              <w:t>100%</w:t>
            </w:r>
          </w:p>
        </w:tc>
        <w:tc>
          <w:tcPr>
            <w:tcW w:type="dxa" w:w="4025"/>
            <w:shd w:val="clear" w:color="auto" w:fill="F2F2F2"/>
          </w:tcPr>
          <w:p>
            <w:pPr>
              <w:spacing w:after="0" w:before="0"/>
            </w:pPr>
            <w:r>
              <w:rPr>
                <w:rFonts w:ascii="Arial" w:hAnsi="Arial"/>
                <w:b w:val="0"/>
                <w:sz w:val="17"/>
              </w:rPr>
              <w:t>Allows for cancellations. Placeholder.</w:t>
            </w:r>
          </w:p>
        </w:tc>
      </w:tr>
      <w:tr>
        <w:tc>
          <w:tcPr>
            <w:tcW w:type="dxa" w:w="3400"/>
          </w:tcPr>
          <w:p>
            <w:pPr>
              <w:spacing w:after="0" w:before="0"/>
            </w:pPr>
            <w:r>
              <w:rPr>
                <w:rFonts w:ascii="Arial" w:hAnsi="Arial"/>
                <w:b w:val="0"/>
                <w:sz w:val="17"/>
              </w:rPr>
              <w:t>Discount rate</w:t>
            </w:r>
          </w:p>
        </w:tc>
        <w:tc>
          <w:tcPr>
            <w:tcW w:type="dxa" w:w="1600"/>
          </w:tcPr>
          <w:p>
            <w:pPr>
              <w:spacing w:after="0" w:before="0"/>
            </w:pPr>
            <w:r>
              <w:rPr>
                <w:rFonts w:ascii="Arial" w:hAnsi="Arial"/>
                <w:b w:val="0"/>
                <w:sz w:val="17"/>
              </w:rPr>
              <w:t>3.5%</w:t>
            </w:r>
          </w:p>
        </w:tc>
        <w:tc>
          <w:tcPr>
            <w:tcW w:type="dxa" w:w="4025"/>
          </w:tcPr>
          <w:p>
            <w:pPr>
              <w:spacing w:after="0" w:before="0"/>
            </w:pPr>
            <w:r>
              <w:rPr>
                <w:rFonts w:ascii="Arial" w:hAnsi="Arial"/>
                <w:b w:val="0"/>
                <w:sz w:val="17"/>
              </w:rPr>
              <w:t>HM Treasury Green Book.</w:t>
            </w:r>
          </w:p>
        </w:tc>
      </w:tr>
      <w:tr>
        <w:tc>
          <w:tcPr>
            <w:tcW w:type="dxa" w:w="3400"/>
            <w:shd w:val="clear" w:color="auto" w:fill="F2F2F2"/>
          </w:tcPr>
          <w:p>
            <w:pPr>
              <w:spacing w:after="0" w:before="0"/>
            </w:pPr>
            <w:r>
              <w:rPr>
                <w:rFonts w:ascii="Arial" w:hAnsi="Arial"/>
                <w:b w:val="0"/>
                <w:sz w:val="17"/>
              </w:rPr>
              <w:t>Public dividend capital</w:t>
            </w:r>
          </w:p>
        </w:tc>
        <w:tc>
          <w:tcPr>
            <w:tcW w:type="dxa" w:w="1600"/>
            <w:shd w:val="clear" w:color="auto" w:fill="F2F2F2"/>
          </w:tcPr>
          <w:p>
            <w:pPr>
              <w:spacing w:after="0" w:before="0"/>
            </w:pPr>
            <w:r>
              <w:rPr>
                <w:rFonts w:ascii="Arial" w:hAnsi="Arial"/>
                <w:b w:val="0"/>
                <w:sz w:val="17"/>
              </w:rPr>
              <w:t>3.5%</w:t>
            </w:r>
          </w:p>
        </w:tc>
        <w:tc>
          <w:tcPr>
            <w:tcW w:type="dxa" w:w="4025"/>
            <w:shd w:val="clear" w:color="auto" w:fill="F2F2F2"/>
          </w:tcPr>
          <w:p>
            <w:pPr>
              <w:spacing w:after="0" w:before="0"/>
            </w:pPr>
            <w:r>
              <w:rPr>
                <w:rFonts w:ascii="Arial" w:hAnsi="Arial"/>
                <w:b w:val="0"/>
                <w:sz w:val="17"/>
              </w:rPr>
              <w:t>On average net book value.</w:t>
            </w:r>
          </w:p>
        </w:tc>
      </w:tr>
    </w:tbl>
    <w:p/>
    <w:p>
      <w:r>
        <w:rPr>
          <w:rFonts w:ascii="Arial" w:hAnsi="Arial"/>
          <w:b w:val="0"/>
          <w:sz w:val="22"/>
        </w:rPr>
        <w:t>Length-of-stay reductions include stay caused by complications, so complication and return-to-theatre costs exclude ward days to avoid double counting.</w:t>
      </w:r>
    </w:p>
    <w:p>
      <w:pPr>
        <w:pStyle w:val="Heading1"/>
      </w:pPr>
      <w:r>
        <w:t>Appendix C. Model checks</w:t>
      </w:r>
    </w:p>
    <w:p>
      <w:r>
        <w:rPr>
          <w:rFonts w:ascii="Arial" w:hAnsi="Arial"/>
          <w:b w:val="0"/>
          <w:sz w:val="22"/>
        </w:rPr>
        <w:t>Engine version 0.6.1. The calculation engine is covered by an automated test suite including hand-calculated cases and an independent re-calculation of all cost avoided.</w:t>
      </w:r>
    </w:p>
    <w:p>
      <w:r>
        <w:rPr>
          <w:rFonts w:ascii="Arial" w:hAnsi="Arial"/>
          <w:b w:val="0"/>
          <w:sz w:val="22"/>
        </w:rPr>
        <w:t>No clinical assumptions or unit costs were changed from the defaults.</w:t>
      </w:r>
    </w:p>
    <w:p>
      <w:pPr>
        <w:pStyle w:val="Heading3"/>
      </w:pPr>
      <w:r>
        <w:t>Warnings raised by the tool</w:t>
      </w:r>
    </w:p>
    <w:p>
      <w:pPr>
        <w:pStyle w:val="ListBullet"/>
      </w:pPr>
      <w:r>
        <w:rPr>
          <w:rFonts w:ascii="Arial" w:hAnsi="Arial"/>
          <w:b w:val="0"/>
          <w:sz w:val="22"/>
        </w:rPr>
        <w:t>Nephrectomy and partial nephrectomy: the template schedules 68 cases a year but demand is 50, so its lists would be only 74% full.</w:t>
      </w:r>
    </w:p>
    <w:p>
      <w:pPr>
        <w:pStyle w:val="ListBullet"/>
      </w:pPr>
      <w:r>
        <w:rPr>
          <w:rFonts w:ascii="Arial" w:hAnsi="Arial"/>
          <w:b w:val="0"/>
          <w:sz w:val="22"/>
        </w:rPr>
        <w:t>Endometriosis excision: the template schedules 135 cases a year but demand is 40, so its lists would be only 30% full.</w:t>
      </w:r>
    </w:p>
    <w:p>
      <w:pPr>
        <w:pStyle w:val="ListBullet"/>
      </w:pPr>
      <w:r>
        <w:rPr>
          <w:rFonts w:ascii="Arial" w:hAnsi="Arial"/>
          <w:b w:val="0"/>
          <w:sz w:val="22"/>
        </w:rPr>
        <w:t>Adnexal surgery: the template schedules 45 cases a year but demand is 30, so its lists would be only 67% full.</w:t>
      </w:r>
    </w:p>
    <w:p>
      <w:pPr>
        <w:pStyle w:val="ListBullet"/>
      </w:pPr>
      <w:r>
        <w:rPr>
          <w:rFonts w:ascii="Arial" w:hAnsi="Arial"/>
          <w:b w:val="0"/>
          <w:sz w:val="22"/>
        </w:rPr>
        <w:t>Abdominal wall reconstruction: 35 cases a year are not scheduled (45 of 80 scheduled); the template does not schedule enough cases.</w:t>
      </w:r>
    </w:p>
    <w:p>
      <w:pPr>
        <w:pStyle w:val="ListBullet"/>
      </w:pPr>
      <w:r>
        <w:rPr>
          <w:rFonts w:ascii="Arial" w:hAnsi="Arial"/>
          <w:b w:val="0"/>
          <w:sz w:val="22"/>
        </w:rPr>
        <w:t>Upper GI (anti-reflux and hiatal hernia): 20 cases a year are not scheduled (none scheduled); the template has no lists for it.</w:t>
      </w:r>
    </w:p>
    <w:p>
      <w:pPr>
        <w:pStyle w:val="ListBullet"/>
      </w:pPr>
      <w:r>
        <w:rPr>
          <w:rFonts w:ascii="Arial" w:hAnsi="Arial"/>
          <w:b w:val="0"/>
          <w:sz w:val="22"/>
        </w:rPr>
        <w:t>Gynaecology major cases: the template split (hysterectomy 40%, endometriosis excision 50%, myomectomy 10%) differs from the demand mix (hysterectomy 61%, endometriosis excision 24%, myomectomy 15%), so meeting demand for some procedures over-schedules others. Review the split in the advanced mapping table, or the demand.</w:t>
      </w:r>
    </w:p>
    <w:p>
      <w:pPr>
        <w:pStyle w:val="Heading1"/>
      </w:pPr>
      <w:r>
        <w:t>Appendix D. Assumptions register</w:t>
      </w:r>
    </w:p>
    <w:p>
      <w:r>
        <w:rPr>
          <w:rFonts w:ascii="Arial" w:hAnsi="Arial"/>
          <w:b w:val="0"/>
          <w:sz w:val="22"/>
        </w:rPr>
        <w:t>Every input the case depends on, with its source, evidence grade, status and the person who must sign it off. 11 assumption; 3 context only; 1 flagged for review; 3 partly sourced; 26 placeholder; 2 sourced; 9 trust input. No entry has yet been reviewed by the relevant specialty.</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500"/>
        <w:gridCol w:w="1100"/>
        <w:gridCol w:w="2926"/>
        <w:gridCol w:w="1100"/>
        <w:gridCol w:w="1400"/>
      </w:tblGrid>
      <w:tr>
        <w:trPr>
          <w:tblHeader w:val="true"/>
        </w:trPr>
        <w:tc>
          <w:tcPr>
            <w:tcW w:type="dxa" w:w="2500"/>
            <w:shd w:val="clear" w:color="auto" w:fill="1F3864"/>
          </w:tcPr>
          <w:p>
            <w:pPr>
              <w:spacing w:after="0" w:before="0"/>
            </w:pPr>
            <w:r/>
            <w:r>
              <w:rPr>
                <w:rFonts w:ascii="Arial" w:hAnsi="Arial"/>
                <w:b/>
                <w:color w:val="FFFFFF"/>
                <w:sz w:val="17"/>
              </w:rPr>
              <w:t>Assumption</w:t>
            </w:r>
          </w:p>
        </w:tc>
        <w:tc>
          <w:tcPr>
            <w:tcW w:type="dxa" w:w="1100"/>
            <w:shd w:val="clear" w:color="auto" w:fill="1F3864"/>
          </w:tcPr>
          <w:p>
            <w:pPr>
              <w:spacing w:after="0" w:before="0"/>
            </w:pPr>
            <w:r/>
            <w:r>
              <w:rPr>
                <w:rFonts w:ascii="Arial" w:hAnsi="Arial"/>
                <w:b/>
                <w:color w:val="FFFFFF"/>
                <w:sz w:val="17"/>
              </w:rPr>
              <w:t>Value</w:t>
            </w:r>
          </w:p>
        </w:tc>
        <w:tc>
          <w:tcPr>
            <w:tcW w:type="dxa" w:w="2926"/>
            <w:shd w:val="clear" w:color="auto" w:fill="1F3864"/>
          </w:tcPr>
          <w:p>
            <w:pPr>
              <w:spacing w:after="0" w:before="0"/>
            </w:pPr>
            <w:r/>
            <w:r>
              <w:rPr>
                <w:rFonts w:ascii="Arial" w:hAnsi="Arial"/>
                <w:b/>
                <w:color w:val="FFFFFF"/>
                <w:sz w:val="17"/>
              </w:rPr>
              <w:t>Source</w:t>
            </w:r>
          </w:p>
        </w:tc>
        <w:tc>
          <w:tcPr>
            <w:tcW w:type="dxa" w:w="1100"/>
            <w:shd w:val="clear" w:color="auto" w:fill="1F3864"/>
          </w:tcPr>
          <w:p>
            <w:pPr>
              <w:spacing w:after="0" w:before="0"/>
            </w:pPr>
            <w:r/>
            <w:r>
              <w:rPr>
                <w:rFonts w:ascii="Arial" w:hAnsi="Arial"/>
                <w:b/>
                <w:color w:val="FFFFFF"/>
                <w:sz w:val="17"/>
              </w:rPr>
              <w:t>Status</w:t>
            </w:r>
          </w:p>
        </w:tc>
        <w:tc>
          <w:tcPr>
            <w:tcW w:type="dxa" w:w="1400"/>
            <w:shd w:val="clear" w:color="auto" w:fill="1F3864"/>
          </w:tcPr>
          <w:p>
            <w:pPr>
              <w:spacing w:after="0" w:before="0"/>
            </w:pPr>
            <w:r/>
            <w:r>
              <w:rPr>
                <w:rFonts w:ascii="Arial" w:hAnsi="Arial"/>
                <w:b/>
                <w:color w:val="FFFFFF"/>
                <w:sz w:val="17"/>
              </w:rPr>
              <w:t>Owner</w:t>
            </w:r>
          </w:p>
        </w:tc>
      </w:tr>
      <w:tr>
        <w:tc>
          <w:tcPr>
            <w:tcW w:type="dxa" w:w="2500"/>
          </w:tcPr>
          <w:p>
            <w:pPr>
              <w:spacing w:after="0" w:before="0"/>
            </w:pPr>
            <w:r>
              <w:rPr>
                <w:rFonts w:ascii="Arial" w:hAnsi="Arial"/>
                <w:b w:val="0"/>
                <w:sz w:val="17"/>
              </w:rPr>
              <w:t>Colorectal major resection (colon and rectum): annual demand (robotic cases)</w:t>
            </w:r>
          </w:p>
        </w:tc>
        <w:tc>
          <w:tcPr>
            <w:tcW w:type="dxa" w:w="1100"/>
          </w:tcPr>
          <w:p>
            <w:pPr>
              <w:spacing w:after="0" w:before="0"/>
            </w:pPr>
            <w:r>
              <w:rPr>
                <w:rFonts w:ascii="Arial" w:hAnsi="Arial"/>
                <w:b w:val="0"/>
                <w:sz w:val="17"/>
              </w:rPr>
              <w:t>120</w:t>
            </w:r>
          </w:p>
        </w:tc>
        <w:tc>
          <w:tcPr>
            <w:tcW w:type="dxa" w:w="2926"/>
          </w:tcPr>
          <w:p>
            <w:pPr>
              <w:spacing w:after="0" w:before="0"/>
            </w:pPr>
            <w:r>
              <w:rPr>
                <w:rFonts w:ascii="Arial" w:hAnsi="Arial"/>
                <w:b w:val="0"/>
                <w:sz w:val="17"/>
              </w:rPr>
              <w:t>Trust activity data (preset values are placeholders)</w:t>
            </w:r>
          </w:p>
        </w:tc>
        <w:tc>
          <w:tcPr>
            <w:tcW w:type="dxa" w:w="1100"/>
          </w:tcPr>
          <w:p>
            <w:pPr>
              <w:spacing w:after="0" w:before="0"/>
            </w:pPr>
            <w:r>
              <w:rPr>
                <w:rFonts w:ascii="Arial" w:hAnsi="Arial"/>
                <w:b w:val="0"/>
                <w:sz w:val="17"/>
              </w:rPr>
              <w:t>Trust input</w:t>
            </w:r>
          </w:p>
        </w:tc>
        <w:tc>
          <w:tcPr>
            <w:tcW w:type="dxa" w:w="1400"/>
          </w:tcPr>
          <w:p>
            <w:pPr>
              <w:spacing w:after="0" w:before="0"/>
            </w:pPr>
            <w:r>
              <w:rPr>
                <w:rFonts w:ascii="Arial" w:hAnsi="Arial"/>
                <w:b w:val="0"/>
                <w:sz w:val="17"/>
                <w:highlight w:val="yellow"/>
              </w:rPr>
              <w:t>[Colorectal clinical benefit owner]</w:t>
            </w:r>
          </w:p>
        </w:tc>
      </w:tr>
      <w:tr>
        <w:tc>
          <w:tcPr>
            <w:tcW w:type="dxa" w:w="2500"/>
            <w:shd w:val="clear" w:color="auto" w:fill="F2F2F2"/>
          </w:tcPr>
          <w:p>
            <w:pPr>
              <w:spacing w:after="0" w:before="0"/>
            </w:pPr>
            <w:r>
              <w:rPr>
                <w:rFonts w:ascii="Arial" w:hAnsi="Arial"/>
                <w:b w:val="0"/>
                <w:sz w:val="17"/>
              </w:rPr>
              <w:t>Colorectal major resection (colon and rectum): share that would be open without the robot</w:t>
            </w:r>
          </w:p>
        </w:tc>
        <w:tc>
          <w:tcPr>
            <w:tcW w:type="dxa" w:w="1100"/>
            <w:shd w:val="clear" w:color="auto" w:fill="F2F2F2"/>
          </w:tcPr>
          <w:p>
            <w:pPr>
              <w:spacing w:after="0" w:before="0"/>
            </w:pPr>
            <w:r>
              <w:rPr>
                <w:rFonts w:ascii="Arial" w:hAnsi="Arial"/>
                <w:b w:val="0"/>
                <w:sz w:val="17"/>
              </w:rPr>
              <w:t>10%</w:t>
            </w:r>
          </w:p>
        </w:tc>
        <w:tc>
          <w:tcPr>
            <w:tcW w:type="dxa" w:w="2926"/>
            <w:shd w:val="clear" w:color="auto" w:fill="F2F2F2"/>
          </w:tcPr>
          <w:p>
            <w:pPr>
              <w:spacing w:after="0" w:before="0"/>
            </w:pPr>
            <w:r>
              <w:rPr>
                <w:rFonts w:ascii="Arial" w:hAnsi="Arial"/>
                <w:b w:val="0"/>
                <w:sz w:val="17"/>
              </w:rPr>
              <w:t>NBOCA State of the Nation report 2025</w:t>
            </w:r>
          </w:p>
        </w:tc>
        <w:tc>
          <w:tcPr>
            <w:tcW w:type="dxa" w:w="1100"/>
            <w:shd w:val="clear" w:color="auto" w:fill="F2F2F2"/>
          </w:tcPr>
          <w:p>
            <w:pPr>
              <w:spacing w:after="0" w:before="0"/>
            </w:pPr>
            <w:r>
              <w:rPr>
                <w:rFonts w:ascii="Arial" w:hAnsi="Arial"/>
                <w:b w:val="0"/>
                <w:sz w:val="17"/>
              </w:rPr>
              <w:t>Context only</w:t>
            </w:r>
          </w:p>
        </w:tc>
        <w:tc>
          <w:tcPr>
            <w:tcW w:type="dxa" w:w="1400"/>
            <w:shd w:val="clear" w:color="auto" w:fill="F2F2F2"/>
          </w:tcPr>
          <w:p>
            <w:pPr>
              <w:spacing w:after="0" w:before="0"/>
            </w:pPr>
            <w:r>
              <w:rPr>
                <w:rFonts w:ascii="Arial" w:hAnsi="Arial"/>
                <w:b w:val="0"/>
                <w:sz w:val="17"/>
                <w:highlight w:val="yellow"/>
              </w:rPr>
              <w:t>[Colorectal clinical benefit owner]</w:t>
            </w:r>
          </w:p>
        </w:tc>
      </w:tr>
      <w:tr>
        <w:tc>
          <w:tcPr>
            <w:tcW w:type="dxa" w:w="2500"/>
          </w:tcPr>
          <w:p>
            <w:pPr>
              <w:spacing w:after="0" w:before="0"/>
            </w:pPr>
            <w:r>
              <w:rPr>
                <w:rFonts w:ascii="Arial" w:hAnsi="Arial"/>
                <w:b w:val="0"/>
                <w:sz w:val="17"/>
              </w:rPr>
              <w:t>Colorectal major resection (colon and rectum): 30-day differences (bed-days, events, theatre time)</w:t>
            </w:r>
          </w:p>
        </w:tc>
        <w:tc>
          <w:tcPr>
            <w:tcW w:type="dxa" w:w="1100"/>
          </w:tcPr>
          <w:p>
            <w:pPr>
              <w:spacing w:after="0" w:before="0"/>
            </w:pPr>
            <w:r>
              <w:rPr>
                <w:rFonts w:ascii="Arial" w:hAnsi="Arial"/>
                <w:b w:val="0"/>
                <w:sz w:val="17"/>
              </w:rPr>
              <w:t>See Appendix A</w:t>
            </w:r>
          </w:p>
        </w:tc>
        <w:tc>
          <w:tcPr>
            <w:tcW w:type="dxa" w:w="2926"/>
          </w:tcPr>
          <w:p>
            <w:pPr>
              <w:spacing w:after="0" w:before="0"/>
            </w:pPr>
            <w:r>
              <w:rPr>
                <w:rFonts w:ascii="Arial" w:hAnsi="Arial"/>
                <w:b w:val="0"/>
                <w:sz w:val="17"/>
              </w:rPr>
              <w:t>Surg Endosc 2024 (US registry, conversion 9.8% v 4.8%); Trastulli et al, PLoS One 2015 (length of stay -0.68 days v laparoscopy)</w:t>
            </w:r>
          </w:p>
        </w:tc>
        <w:tc>
          <w:tcPr>
            <w:tcW w:type="dxa" w:w="1100"/>
          </w:tcPr>
          <w:p>
            <w:pPr>
              <w:spacing w:after="0" w:before="0"/>
            </w:pPr>
            <w:r>
              <w:rPr>
                <w:rFonts w:ascii="Arial" w:hAnsi="Arial"/>
                <w:b w:val="0"/>
                <w:sz w:val="17"/>
              </w:rPr>
              <w:t>Partly sourced</w:t>
            </w:r>
          </w:p>
        </w:tc>
        <w:tc>
          <w:tcPr>
            <w:tcW w:type="dxa" w:w="1400"/>
          </w:tcPr>
          <w:p>
            <w:pPr>
              <w:spacing w:after="0" w:before="0"/>
            </w:pPr>
            <w:r>
              <w:rPr>
                <w:rFonts w:ascii="Arial" w:hAnsi="Arial"/>
                <w:b w:val="0"/>
                <w:sz w:val="17"/>
                <w:highlight w:val="yellow"/>
              </w:rPr>
              <w:t>[Colorectal clinical benefit owner]</w:t>
            </w:r>
          </w:p>
        </w:tc>
      </w:tr>
      <w:tr>
        <w:tc>
          <w:tcPr>
            <w:tcW w:type="dxa" w:w="2500"/>
            <w:shd w:val="clear" w:color="auto" w:fill="F2F2F2"/>
          </w:tcPr>
          <w:p>
            <w:pPr>
              <w:spacing w:after="0" w:before="0"/>
            </w:pPr>
            <w:r>
              <w:rPr>
                <w:rFonts w:ascii="Arial" w:hAnsi="Arial"/>
                <w:b w:val="0"/>
                <w:sz w:val="17"/>
              </w:rPr>
              <w:t>Nephrectomy and partial nephrectomy: annual demand (robotic cases)</w:t>
            </w:r>
          </w:p>
        </w:tc>
        <w:tc>
          <w:tcPr>
            <w:tcW w:type="dxa" w:w="1100"/>
            <w:shd w:val="clear" w:color="auto" w:fill="F2F2F2"/>
          </w:tcPr>
          <w:p>
            <w:pPr>
              <w:spacing w:after="0" w:before="0"/>
            </w:pPr>
            <w:r>
              <w:rPr>
                <w:rFonts w:ascii="Arial" w:hAnsi="Arial"/>
                <w:b w:val="0"/>
                <w:sz w:val="17"/>
              </w:rPr>
              <w:t>50</w:t>
            </w:r>
          </w:p>
        </w:tc>
        <w:tc>
          <w:tcPr>
            <w:tcW w:type="dxa" w:w="2926"/>
            <w:shd w:val="clear" w:color="auto" w:fill="F2F2F2"/>
          </w:tcPr>
          <w:p>
            <w:pPr>
              <w:spacing w:after="0" w:before="0"/>
            </w:pPr>
            <w:r>
              <w:rPr>
                <w:rFonts w:ascii="Arial" w:hAnsi="Arial"/>
                <w:b w:val="0"/>
                <w:sz w:val="17"/>
              </w:rPr>
              <w:t>Trust activity data (preset values are placeholders)</w:t>
            </w:r>
          </w:p>
        </w:tc>
        <w:tc>
          <w:tcPr>
            <w:tcW w:type="dxa" w:w="1100"/>
            <w:shd w:val="clear" w:color="auto" w:fill="F2F2F2"/>
          </w:tcPr>
          <w:p>
            <w:pPr>
              <w:spacing w:after="0" w:before="0"/>
            </w:pPr>
            <w:r>
              <w:rPr>
                <w:rFonts w:ascii="Arial" w:hAnsi="Arial"/>
                <w:b w:val="0"/>
                <w:sz w:val="17"/>
              </w:rPr>
              <w:t>Trust input</w:t>
            </w:r>
          </w:p>
        </w:tc>
        <w:tc>
          <w:tcPr>
            <w:tcW w:type="dxa" w:w="1400"/>
            <w:shd w:val="clear" w:color="auto" w:fill="F2F2F2"/>
          </w:tcPr>
          <w:p>
            <w:pPr>
              <w:spacing w:after="0" w:before="0"/>
            </w:pPr>
            <w:r>
              <w:rPr>
                <w:rFonts w:ascii="Arial" w:hAnsi="Arial"/>
                <w:b w:val="0"/>
                <w:sz w:val="17"/>
                <w:highlight w:val="yellow"/>
              </w:rPr>
              <w:t>[Urology clinical benefit owner]</w:t>
            </w:r>
          </w:p>
        </w:tc>
      </w:tr>
      <w:tr>
        <w:tc>
          <w:tcPr>
            <w:tcW w:type="dxa" w:w="2500"/>
          </w:tcPr>
          <w:p>
            <w:pPr>
              <w:spacing w:after="0" w:before="0"/>
            </w:pPr>
            <w:r>
              <w:rPr>
                <w:rFonts w:ascii="Arial" w:hAnsi="Arial"/>
                <w:b w:val="0"/>
                <w:sz w:val="17"/>
              </w:rPr>
              <w:t>Nephrectomy and partial nephrectomy: share that would be open without the robot</w:t>
            </w:r>
          </w:p>
        </w:tc>
        <w:tc>
          <w:tcPr>
            <w:tcW w:type="dxa" w:w="1100"/>
          </w:tcPr>
          <w:p>
            <w:pPr>
              <w:spacing w:after="0" w:before="0"/>
            </w:pPr>
            <w:r>
              <w:rPr>
                <w:rFonts w:ascii="Arial" w:hAnsi="Arial"/>
                <w:b w:val="0"/>
                <w:sz w:val="17"/>
              </w:rPr>
              <w:t>30%</w:t>
            </w:r>
          </w:p>
        </w:tc>
        <w:tc>
          <w:tcPr>
            <w:tcW w:type="dxa" w:w="2926"/>
          </w:tcPr>
          <w:p>
            <w:pPr>
              <w:spacing w:after="0" w:before="0"/>
            </w:pPr>
            <w:r>
              <w:rPr>
                <w:rFonts w:ascii="Arial" w:hAnsi="Arial"/>
                <w:b w:val="0"/>
                <w:sz w:val="17"/>
              </w:rPr>
              <w:t>None found</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[Urology clinical benefit owner]</w:t>
            </w:r>
          </w:p>
        </w:tc>
      </w:tr>
      <w:tr>
        <w:tc>
          <w:tcPr>
            <w:tcW w:type="dxa" w:w="2500"/>
            <w:shd w:val="clear" w:color="auto" w:fill="F2F2F2"/>
          </w:tcPr>
          <w:p>
            <w:pPr>
              <w:spacing w:after="0" w:before="0"/>
            </w:pPr>
            <w:r>
              <w:rPr>
                <w:rFonts w:ascii="Arial" w:hAnsi="Arial"/>
                <w:b w:val="0"/>
                <w:sz w:val="17"/>
              </w:rPr>
              <w:t>Nephrectomy and partial nephrectomy: 30-day differences (bed-days, events, theatre time)</w:t>
            </w:r>
          </w:p>
        </w:tc>
        <w:tc>
          <w:tcPr>
            <w:tcW w:type="dxa" w:w="1100"/>
            <w:shd w:val="clear" w:color="auto" w:fill="F2F2F2"/>
          </w:tcPr>
          <w:p>
            <w:pPr>
              <w:spacing w:after="0" w:before="0"/>
            </w:pPr>
            <w:r>
              <w:rPr>
                <w:rFonts w:ascii="Arial" w:hAnsi="Arial"/>
                <w:b w:val="0"/>
                <w:sz w:val="17"/>
              </w:rPr>
              <w:t>See Appendix A</w:t>
            </w:r>
          </w:p>
        </w:tc>
        <w:tc>
          <w:tcPr>
            <w:tcW w:type="dxa" w:w="2926"/>
            <w:shd w:val="clear" w:color="auto" w:fill="F2F2F2"/>
          </w:tcPr>
          <w:p>
            <w:pPr>
              <w:spacing w:after="0" w:before="0"/>
            </w:pPr>
            <w:r>
              <w:rPr>
                <w:rFonts w:ascii="Arial" w:hAnsi="Arial"/>
                <w:b w:val="0"/>
                <w:sz w:val="17"/>
              </w:rPr>
              <w:t>Expert estimate</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[Urology clinical benefit owner]</w:t>
            </w:r>
          </w:p>
        </w:tc>
      </w:tr>
      <w:tr>
        <w:tc>
          <w:tcPr>
            <w:tcW w:type="dxa" w:w="2500"/>
          </w:tcPr>
          <w:p>
            <w:pPr>
              <w:spacing w:after="0" w:before="0"/>
            </w:pPr>
            <w:r>
              <w:rPr>
                <w:rFonts w:ascii="Arial" w:hAnsi="Arial"/>
                <w:b w:val="0"/>
                <w:sz w:val="17"/>
              </w:rPr>
              <w:t>Hysterectomy (benign and malignant): annual demand (robotic cases)</w:t>
            </w:r>
          </w:p>
        </w:tc>
        <w:tc>
          <w:tcPr>
            <w:tcW w:type="dxa" w:w="1100"/>
          </w:tcPr>
          <w:p>
            <w:pPr>
              <w:spacing w:after="0" w:before="0"/>
            </w:pPr>
            <w:r>
              <w:rPr>
                <w:rFonts w:ascii="Arial" w:hAnsi="Arial"/>
                <w:b w:val="0"/>
                <w:sz w:val="17"/>
              </w:rPr>
              <w:t>100</w:t>
            </w:r>
          </w:p>
        </w:tc>
        <w:tc>
          <w:tcPr>
            <w:tcW w:type="dxa" w:w="2926"/>
          </w:tcPr>
          <w:p>
            <w:pPr>
              <w:spacing w:after="0" w:before="0"/>
            </w:pPr>
            <w:r>
              <w:rPr>
                <w:rFonts w:ascii="Arial" w:hAnsi="Arial"/>
                <w:b w:val="0"/>
                <w:sz w:val="17"/>
              </w:rPr>
              <w:t>Trust activity data (preset values are placeholders); preset re-split to the gynaecology major mix in v0.6</w:t>
            </w:r>
          </w:p>
        </w:tc>
        <w:tc>
          <w:tcPr>
            <w:tcW w:type="dxa" w:w="1100"/>
          </w:tcPr>
          <w:p>
            <w:pPr>
              <w:spacing w:after="0" w:before="0"/>
            </w:pPr>
            <w:r>
              <w:rPr>
                <w:rFonts w:ascii="Arial" w:hAnsi="Arial"/>
                <w:b w:val="0"/>
                <w:sz w:val="17"/>
              </w:rPr>
              <w:t>Trust input</w:t>
            </w:r>
          </w:p>
        </w:tc>
        <w:tc>
          <w:tcPr>
            <w:tcW w:type="dxa" w:w="1400"/>
          </w:tcPr>
          <w:p>
            <w:pPr>
              <w:spacing w:after="0" w:before="0"/>
            </w:pPr>
            <w:r>
              <w:rPr>
                <w:rFonts w:ascii="Arial" w:hAnsi="Arial"/>
                <w:b w:val="0"/>
                <w:sz w:val="17"/>
                <w:highlight w:val="yellow"/>
              </w:rPr>
              <w:t>[Gynaecology clinical benefit owner]</w:t>
            </w:r>
          </w:p>
        </w:tc>
      </w:tr>
      <w:tr>
        <w:tc>
          <w:tcPr>
            <w:tcW w:type="dxa" w:w="2500"/>
            <w:shd w:val="clear" w:color="auto" w:fill="F2F2F2"/>
          </w:tcPr>
          <w:p>
            <w:pPr>
              <w:spacing w:after="0" w:before="0"/>
            </w:pPr>
            <w:r>
              <w:rPr>
                <w:rFonts w:ascii="Arial" w:hAnsi="Arial"/>
                <w:b w:val="0"/>
                <w:sz w:val="17"/>
              </w:rPr>
              <w:t>Hysterectomy (benign and malignant): share that would be open without the robot</w:t>
            </w:r>
          </w:p>
        </w:tc>
        <w:tc>
          <w:tcPr>
            <w:tcW w:type="dxa" w:w="1100"/>
            <w:shd w:val="clear" w:color="auto" w:fill="F2F2F2"/>
          </w:tcPr>
          <w:p>
            <w:pPr>
              <w:spacing w:after="0" w:before="0"/>
            </w:pPr>
            <w:r>
              <w:rPr>
                <w:rFonts w:ascii="Arial" w:hAnsi="Arial"/>
                <w:b w:val="0"/>
                <w:sz w:val="17"/>
              </w:rPr>
              <w:t>50%</w:t>
            </w:r>
          </w:p>
        </w:tc>
        <w:tc>
          <w:tcPr>
            <w:tcW w:type="dxa" w:w="2926"/>
            <w:shd w:val="clear" w:color="auto" w:fill="F2F2F2"/>
          </w:tcPr>
          <w:p>
            <w:pPr>
              <w:spacing w:after="0" w:before="0"/>
            </w:pPr>
            <w:r>
              <w:rPr>
                <w:rFonts w:ascii="Arial" w:hAnsi="Arial"/>
                <w:b w:val="0"/>
                <w:sz w:val="17"/>
              </w:rPr>
              <w:t>Clark and Saridogan 2021, citing Madhvani et al (about half laparoscopic, 2011-17)</w:t>
            </w:r>
          </w:p>
        </w:tc>
        <w:tc>
          <w:tcPr>
            <w:tcW w:type="dxa" w:w="1100"/>
            <w:shd w:val="clear" w:color="auto" w:fill="F2F2F2"/>
          </w:tcPr>
          <w:p>
            <w:pPr>
              <w:spacing w:after="0" w:before="0"/>
            </w:pPr>
            <w:r>
              <w:rPr>
                <w:rFonts w:ascii="Arial" w:hAnsi="Arial"/>
                <w:b w:val="0"/>
                <w:sz w:val="17"/>
              </w:rPr>
              <w:t>Context only</w:t>
            </w:r>
          </w:p>
        </w:tc>
        <w:tc>
          <w:tcPr>
            <w:tcW w:type="dxa" w:w="1400"/>
            <w:shd w:val="clear" w:color="auto" w:fill="F2F2F2"/>
          </w:tcPr>
          <w:p>
            <w:pPr>
              <w:spacing w:after="0" w:before="0"/>
            </w:pPr>
            <w:r>
              <w:rPr>
                <w:rFonts w:ascii="Arial" w:hAnsi="Arial"/>
                <w:b w:val="0"/>
                <w:sz w:val="17"/>
                <w:highlight w:val="yellow"/>
              </w:rPr>
              <w:t>[Gynaecology clinical benefit owner]</w:t>
            </w:r>
          </w:p>
        </w:tc>
      </w:tr>
      <w:tr>
        <w:tc>
          <w:tcPr>
            <w:tcW w:type="dxa" w:w="2500"/>
          </w:tcPr>
          <w:p>
            <w:pPr>
              <w:spacing w:after="0" w:before="0"/>
            </w:pPr>
            <w:r>
              <w:rPr>
                <w:rFonts w:ascii="Arial" w:hAnsi="Arial"/>
                <w:b w:val="0"/>
                <w:sz w:val="17"/>
              </w:rPr>
              <w:t>Hysterectomy (benign and malignant): 30-day differences (bed-days, events, theatre time)</w:t>
            </w:r>
          </w:p>
        </w:tc>
        <w:tc>
          <w:tcPr>
            <w:tcW w:type="dxa" w:w="1100"/>
          </w:tcPr>
          <w:p>
            <w:pPr>
              <w:spacing w:after="0" w:before="0"/>
            </w:pPr>
            <w:r>
              <w:rPr>
                <w:rFonts w:ascii="Arial" w:hAnsi="Arial"/>
                <w:b w:val="0"/>
                <w:sz w:val="17"/>
              </w:rPr>
              <w:t>See Appendix A</w:t>
            </w:r>
          </w:p>
        </w:tc>
        <w:tc>
          <w:tcPr>
            <w:tcW w:type="dxa" w:w="2926"/>
          </w:tcPr>
          <w:p>
            <w:pPr>
              <w:spacing w:after="0" w:before="0"/>
            </w:pPr>
            <w:r>
              <w:rPr>
                <w:rFonts w:ascii="Arial" w:hAnsi="Arial"/>
                <w:b w:val="0"/>
                <w:sz w:val="17"/>
              </w:rPr>
              <w:t>Expert estimate</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[Gynaecology clinical benefit owner]</w:t>
            </w:r>
          </w:p>
        </w:tc>
      </w:tr>
      <w:tr>
        <w:tc>
          <w:tcPr>
            <w:tcW w:type="dxa" w:w="2500"/>
            <w:shd w:val="clear" w:color="auto" w:fill="F2F2F2"/>
          </w:tcPr>
          <w:p>
            <w:pPr>
              <w:spacing w:after="0" w:before="0"/>
            </w:pPr>
            <w:r>
              <w:rPr>
                <w:rFonts w:ascii="Arial" w:hAnsi="Arial"/>
                <w:b w:val="0"/>
                <w:sz w:val="17"/>
              </w:rPr>
              <w:t>Myomectomy: annual demand (robotic cases)</w:t>
            </w:r>
          </w:p>
        </w:tc>
        <w:tc>
          <w:tcPr>
            <w:tcW w:type="dxa" w:w="1100"/>
            <w:shd w:val="clear" w:color="auto" w:fill="F2F2F2"/>
          </w:tcPr>
          <w:p>
            <w:pPr>
              <w:spacing w:after="0" w:before="0"/>
            </w:pPr>
            <w:r>
              <w:rPr>
                <w:rFonts w:ascii="Arial" w:hAnsi="Arial"/>
                <w:b w:val="0"/>
                <w:sz w:val="17"/>
              </w:rPr>
              <w:t>25</w:t>
            </w:r>
          </w:p>
        </w:tc>
        <w:tc>
          <w:tcPr>
            <w:tcW w:type="dxa" w:w="2926"/>
            <w:shd w:val="clear" w:color="auto" w:fill="F2F2F2"/>
          </w:tcPr>
          <w:p>
            <w:pPr>
              <w:spacing w:after="0" w:before="0"/>
            </w:pPr>
            <w:r>
              <w:rPr>
                <w:rFonts w:ascii="Arial" w:hAnsi="Arial"/>
                <w:b w:val="0"/>
                <w:sz w:val="17"/>
              </w:rPr>
              <w:t>Trust activity data (preset values are placeholders); preset re-split to the gynaecology major mix in v0.6</w:t>
            </w:r>
          </w:p>
        </w:tc>
        <w:tc>
          <w:tcPr>
            <w:tcW w:type="dxa" w:w="1100"/>
            <w:shd w:val="clear" w:color="auto" w:fill="F2F2F2"/>
          </w:tcPr>
          <w:p>
            <w:pPr>
              <w:spacing w:after="0" w:before="0"/>
            </w:pPr>
            <w:r>
              <w:rPr>
                <w:rFonts w:ascii="Arial" w:hAnsi="Arial"/>
                <w:b w:val="0"/>
                <w:sz w:val="17"/>
              </w:rPr>
              <w:t>Trust input</w:t>
            </w:r>
          </w:p>
        </w:tc>
        <w:tc>
          <w:tcPr>
            <w:tcW w:type="dxa" w:w="1400"/>
            <w:shd w:val="clear" w:color="auto" w:fill="F2F2F2"/>
          </w:tcPr>
          <w:p>
            <w:pPr>
              <w:spacing w:after="0" w:before="0"/>
            </w:pPr>
            <w:r>
              <w:rPr>
                <w:rFonts w:ascii="Arial" w:hAnsi="Arial"/>
                <w:b w:val="0"/>
                <w:sz w:val="17"/>
                <w:highlight w:val="yellow"/>
              </w:rPr>
              <w:t>[Gynaecology clinical benefit owner]</w:t>
            </w:r>
          </w:p>
        </w:tc>
      </w:tr>
      <w:tr>
        <w:tc>
          <w:tcPr>
            <w:tcW w:type="dxa" w:w="2500"/>
          </w:tcPr>
          <w:p>
            <w:pPr>
              <w:spacing w:after="0" w:before="0"/>
            </w:pPr>
            <w:r>
              <w:rPr>
                <w:rFonts w:ascii="Arial" w:hAnsi="Arial"/>
                <w:b w:val="0"/>
                <w:sz w:val="17"/>
              </w:rPr>
              <w:t>Myomectomy: share that would be open without the robot</w:t>
            </w:r>
          </w:p>
        </w:tc>
        <w:tc>
          <w:tcPr>
            <w:tcW w:type="dxa" w:w="1100"/>
          </w:tcPr>
          <w:p>
            <w:pPr>
              <w:spacing w:after="0" w:before="0"/>
            </w:pPr>
            <w:r>
              <w:rPr>
                <w:rFonts w:ascii="Arial" w:hAnsi="Arial"/>
                <w:b w:val="0"/>
                <w:sz w:val="17"/>
              </w:rPr>
              <w:t>80%</w:t>
            </w:r>
          </w:p>
        </w:tc>
        <w:tc>
          <w:tcPr>
            <w:tcW w:type="dxa" w:w="2926"/>
          </w:tcPr>
          <w:p>
            <w:pPr>
              <w:spacing w:after="0" w:before="0"/>
            </w:pPr>
            <w:r>
              <w:rPr>
                <w:rFonts w:ascii="Arial" w:hAnsi="Arial"/>
                <w:b w:val="0"/>
                <w:sz w:val="17"/>
              </w:rPr>
              <w:t>None found</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[Gynaecology clinical benefit owner]</w:t>
            </w:r>
          </w:p>
        </w:tc>
      </w:tr>
      <w:tr>
        <w:tc>
          <w:tcPr>
            <w:tcW w:type="dxa" w:w="2500"/>
            <w:shd w:val="clear" w:color="auto" w:fill="F2F2F2"/>
          </w:tcPr>
          <w:p>
            <w:pPr>
              <w:spacing w:after="0" w:before="0"/>
            </w:pPr>
            <w:r>
              <w:rPr>
                <w:rFonts w:ascii="Arial" w:hAnsi="Arial"/>
                <w:b w:val="0"/>
                <w:sz w:val="17"/>
              </w:rPr>
              <w:t>Myomectomy: 30-day differences (bed-days, events, theatre time)</w:t>
            </w:r>
          </w:p>
        </w:tc>
        <w:tc>
          <w:tcPr>
            <w:tcW w:type="dxa" w:w="1100"/>
            <w:shd w:val="clear" w:color="auto" w:fill="F2F2F2"/>
          </w:tcPr>
          <w:p>
            <w:pPr>
              <w:spacing w:after="0" w:before="0"/>
            </w:pPr>
            <w:r>
              <w:rPr>
                <w:rFonts w:ascii="Arial" w:hAnsi="Arial"/>
                <w:b w:val="0"/>
                <w:sz w:val="17"/>
              </w:rPr>
              <w:t>See Appendix A</w:t>
            </w:r>
          </w:p>
        </w:tc>
        <w:tc>
          <w:tcPr>
            <w:tcW w:type="dxa" w:w="2926"/>
            <w:shd w:val="clear" w:color="auto" w:fill="F2F2F2"/>
          </w:tcPr>
          <w:p>
            <w:pPr>
              <w:spacing w:after="0" w:before="0"/>
            </w:pPr>
            <w:r>
              <w:rPr>
                <w:rFonts w:ascii="Arial" w:hAnsi="Arial"/>
                <w:b w:val="0"/>
                <w:sz w:val="17"/>
              </w:rPr>
              <w:t>Expert estimate</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[Gynaecology clinical benefit owner]</w:t>
            </w:r>
          </w:p>
        </w:tc>
      </w:tr>
      <w:tr>
        <w:tc>
          <w:tcPr>
            <w:tcW w:type="dxa" w:w="2500"/>
          </w:tcPr>
          <w:p>
            <w:pPr>
              <w:spacing w:after="0" w:before="0"/>
            </w:pPr>
            <w:r>
              <w:rPr>
                <w:rFonts w:ascii="Arial" w:hAnsi="Arial"/>
                <w:b w:val="0"/>
                <w:sz w:val="17"/>
              </w:rPr>
              <w:t>Endometriosis excision: annual demand (robotic cases)</w:t>
            </w:r>
          </w:p>
        </w:tc>
        <w:tc>
          <w:tcPr>
            <w:tcW w:type="dxa" w:w="1100"/>
          </w:tcPr>
          <w:p>
            <w:pPr>
              <w:spacing w:after="0" w:before="0"/>
            </w:pPr>
            <w:r>
              <w:rPr>
                <w:rFonts w:ascii="Arial" w:hAnsi="Arial"/>
                <w:b w:val="0"/>
                <w:sz w:val="17"/>
              </w:rPr>
              <w:t>40</w:t>
            </w:r>
          </w:p>
        </w:tc>
        <w:tc>
          <w:tcPr>
            <w:tcW w:type="dxa" w:w="2926"/>
          </w:tcPr>
          <w:p>
            <w:pPr>
              <w:spacing w:after="0" w:before="0"/>
            </w:pPr>
            <w:r>
              <w:rPr>
                <w:rFonts w:ascii="Arial" w:hAnsi="Arial"/>
                <w:b w:val="0"/>
                <w:sz w:val="17"/>
              </w:rPr>
              <w:t>Trust activity data (preset values are placeholders); preset re-split to the gynaecology major mix in v0.6</w:t>
            </w:r>
          </w:p>
        </w:tc>
        <w:tc>
          <w:tcPr>
            <w:tcW w:type="dxa" w:w="1100"/>
          </w:tcPr>
          <w:p>
            <w:pPr>
              <w:spacing w:after="0" w:before="0"/>
            </w:pPr>
            <w:r>
              <w:rPr>
                <w:rFonts w:ascii="Arial" w:hAnsi="Arial"/>
                <w:b w:val="0"/>
                <w:sz w:val="17"/>
              </w:rPr>
              <w:t>Trust input</w:t>
            </w:r>
          </w:p>
        </w:tc>
        <w:tc>
          <w:tcPr>
            <w:tcW w:type="dxa" w:w="1400"/>
          </w:tcPr>
          <w:p>
            <w:pPr>
              <w:spacing w:after="0" w:before="0"/>
            </w:pPr>
            <w:r>
              <w:rPr>
                <w:rFonts w:ascii="Arial" w:hAnsi="Arial"/>
                <w:b w:val="0"/>
                <w:sz w:val="17"/>
                <w:highlight w:val="yellow"/>
              </w:rPr>
              <w:t>[Gynaecology clinical benefit owner]</w:t>
            </w:r>
          </w:p>
        </w:tc>
      </w:tr>
      <w:tr>
        <w:tc>
          <w:tcPr>
            <w:tcW w:type="dxa" w:w="2500"/>
            <w:shd w:val="clear" w:color="auto" w:fill="F2F2F2"/>
          </w:tcPr>
          <w:p>
            <w:pPr>
              <w:spacing w:after="0" w:before="0"/>
            </w:pPr>
            <w:r>
              <w:rPr>
                <w:rFonts w:ascii="Arial" w:hAnsi="Arial"/>
                <w:b w:val="0"/>
                <w:sz w:val="17"/>
              </w:rPr>
              <w:t>Endometriosis excision: share that would be open without the robot</w:t>
            </w:r>
          </w:p>
        </w:tc>
        <w:tc>
          <w:tcPr>
            <w:tcW w:type="dxa" w:w="1100"/>
            <w:shd w:val="clear" w:color="auto" w:fill="F2F2F2"/>
          </w:tcPr>
          <w:p>
            <w:pPr>
              <w:spacing w:after="0" w:before="0"/>
            </w:pPr>
            <w:r>
              <w:rPr>
                <w:rFonts w:ascii="Arial" w:hAnsi="Arial"/>
                <w:b w:val="0"/>
                <w:sz w:val="17"/>
              </w:rPr>
              <w:t>20%</w:t>
            </w:r>
          </w:p>
        </w:tc>
        <w:tc>
          <w:tcPr>
            <w:tcW w:type="dxa" w:w="2926"/>
            <w:shd w:val="clear" w:color="auto" w:fill="F2F2F2"/>
          </w:tcPr>
          <w:p>
            <w:pPr>
              <w:spacing w:after="0" w:before="0"/>
            </w:pPr>
            <w:r>
              <w:rPr>
                <w:rFonts w:ascii="Arial" w:hAnsi="Arial"/>
                <w:b w:val="0"/>
                <w:sz w:val="17"/>
              </w:rPr>
              <w:t>None found</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[Gynaecology clinical benefit owner]</w:t>
            </w:r>
          </w:p>
        </w:tc>
      </w:tr>
      <w:tr>
        <w:tc>
          <w:tcPr>
            <w:tcW w:type="dxa" w:w="2500"/>
          </w:tcPr>
          <w:p>
            <w:pPr>
              <w:spacing w:after="0" w:before="0"/>
            </w:pPr>
            <w:r>
              <w:rPr>
                <w:rFonts w:ascii="Arial" w:hAnsi="Arial"/>
                <w:b w:val="0"/>
                <w:sz w:val="17"/>
              </w:rPr>
              <w:t>Endometriosis excision: 30-day differences (bed-days, events, theatre time)</w:t>
            </w:r>
          </w:p>
        </w:tc>
        <w:tc>
          <w:tcPr>
            <w:tcW w:type="dxa" w:w="1100"/>
          </w:tcPr>
          <w:p>
            <w:pPr>
              <w:spacing w:after="0" w:before="0"/>
            </w:pPr>
            <w:r>
              <w:rPr>
                <w:rFonts w:ascii="Arial" w:hAnsi="Arial"/>
                <w:b w:val="0"/>
                <w:sz w:val="17"/>
              </w:rPr>
              <w:t>See Appendix A</w:t>
            </w:r>
          </w:p>
        </w:tc>
        <w:tc>
          <w:tcPr>
            <w:tcW w:type="dxa" w:w="2926"/>
          </w:tcPr>
          <w:p>
            <w:pPr>
              <w:spacing w:after="0" w:before="0"/>
            </w:pPr>
            <w:r>
              <w:rPr>
                <w:rFonts w:ascii="Arial" w:hAnsi="Arial"/>
                <w:b w:val="0"/>
                <w:sz w:val="17"/>
              </w:rPr>
              <w:t>Expert estimate</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[Gynaecology clinical benefit owner]</w:t>
            </w:r>
          </w:p>
        </w:tc>
      </w:tr>
      <w:tr>
        <w:tc>
          <w:tcPr>
            <w:tcW w:type="dxa" w:w="2500"/>
            <w:shd w:val="clear" w:color="auto" w:fill="F2F2F2"/>
          </w:tcPr>
          <w:p>
            <w:pPr>
              <w:spacing w:after="0" w:before="0"/>
            </w:pPr>
            <w:r>
              <w:rPr>
                <w:rFonts w:ascii="Arial" w:hAnsi="Arial"/>
                <w:b w:val="0"/>
                <w:sz w:val="17"/>
              </w:rPr>
              <w:t>Adnexal surgery: annual demand (robotic cases)</w:t>
            </w:r>
          </w:p>
        </w:tc>
        <w:tc>
          <w:tcPr>
            <w:tcW w:type="dxa" w:w="1100"/>
            <w:shd w:val="clear" w:color="auto" w:fill="F2F2F2"/>
          </w:tcPr>
          <w:p>
            <w:pPr>
              <w:spacing w:after="0" w:before="0"/>
            </w:pPr>
            <w:r>
              <w:rPr>
                <w:rFonts w:ascii="Arial" w:hAnsi="Arial"/>
                <w:b w:val="0"/>
                <w:sz w:val="17"/>
              </w:rPr>
              <w:t>30</w:t>
            </w:r>
          </w:p>
        </w:tc>
        <w:tc>
          <w:tcPr>
            <w:tcW w:type="dxa" w:w="2926"/>
            <w:shd w:val="clear" w:color="auto" w:fill="F2F2F2"/>
          </w:tcPr>
          <w:p>
            <w:pPr>
              <w:spacing w:after="0" w:before="0"/>
            </w:pPr>
            <w:r>
              <w:rPr>
                <w:rFonts w:ascii="Arial" w:hAnsi="Arial"/>
                <w:b w:val="0"/>
                <w:sz w:val="17"/>
              </w:rPr>
              <w:t>Trust activity data (preset values are placeholders)</w:t>
            </w:r>
          </w:p>
        </w:tc>
        <w:tc>
          <w:tcPr>
            <w:tcW w:type="dxa" w:w="1100"/>
            <w:shd w:val="clear" w:color="auto" w:fill="F2F2F2"/>
          </w:tcPr>
          <w:p>
            <w:pPr>
              <w:spacing w:after="0" w:before="0"/>
            </w:pPr>
            <w:r>
              <w:rPr>
                <w:rFonts w:ascii="Arial" w:hAnsi="Arial"/>
                <w:b w:val="0"/>
                <w:sz w:val="17"/>
              </w:rPr>
              <w:t>Trust input</w:t>
            </w:r>
          </w:p>
        </w:tc>
        <w:tc>
          <w:tcPr>
            <w:tcW w:type="dxa" w:w="1400"/>
            <w:shd w:val="clear" w:color="auto" w:fill="F2F2F2"/>
          </w:tcPr>
          <w:p>
            <w:pPr>
              <w:spacing w:after="0" w:before="0"/>
            </w:pPr>
            <w:r>
              <w:rPr>
                <w:rFonts w:ascii="Arial" w:hAnsi="Arial"/>
                <w:b w:val="0"/>
                <w:sz w:val="17"/>
                <w:highlight w:val="yellow"/>
              </w:rPr>
              <w:t>[Gynaecology clinical benefit owner]</w:t>
            </w:r>
          </w:p>
        </w:tc>
      </w:tr>
      <w:tr>
        <w:tc>
          <w:tcPr>
            <w:tcW w:type="dxa" w:w="2500"/>
          </w:tcPr>
          <w:p>
            <w:pPr>
              <w:spacing w:after="0" w:before="0"/>
            </w:pPr>
            <w:r>
              <w:rPr>
                <w:rFonts w:ascii="Arial" w:hAnsi="Arial"/>
                <w:b w:val="0"/>
                <w:sz w:val="17"/>
              </w:rPr>
              <w:t>Adnexal surgery: share that would be open without the robot</w:t>
            </w:r>
          </w:p>
        </w:tc>
        <w:tc>
          <w:tcPr>
            <w:tcW w:type="dxa" w:w="1100"/>
          </w:tcPr>
          <w:p>
            <w:pPr>
              <w:spacing w:after="0" w:before="0"/>
            </w:pPr>
            <w:r>
              <w:rPr>
                <w:rFonts w:ascii="Arial" w:hAnsi="Arial"/>
                <w:b w:val="0"/>
                <w:sz w:val="17"/>
              </w:rPr>
              <w:t>10%</w:t>
            </w:r>
          </w:p>
        </w:tc>
        <w:tc>
          <w:tcPr>
            <w:tcW w:type="dxa" w:w="2926"/>
          </w:tcPr>
          <w:p>
            <w:pPr>
              <w:spacing w:after="0" w:before="0"/>
            </w:pPr>
            <w:r>
              <w:rPr>
                <w:rFonts w:ascii="Arial" w:hAnsi="Arial"/>
                <w:b w:val="0"/>
                <w:sz w:val="17"/>
              </w:rPr>
              <w:t>None found</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[Gynaecology clinical benefit owner]</w:t>
            </w:r>
          </w:p>
        </w:tc>
      </w:tr>
      <w:tr>
        <w:tc>
          <w:tcPr>
            <w:tcW w:type="dxa" w:w="2500"/>
            <w:shd w:val="clear" w:color="auto" w:fill="F2F2F2"/>
          </w:tcPr>
          <w:p>
            <w:pPr>
              <w:spacing w:after="0" w:before="0"/>
            </w:pPr>
            <w:r>
              <w:rPr>
                <w:rFonts w:ascii="Arial" w:hAnsi="Arial"/>
                <w:b w:val="0"/>
                <w:sz w:val="17"/>
              </w:rPr>
              <w:t>Adnexal surgery: 30-day differences (bed-days, events, theatre time)</w:t>
            </w:r>
          </w:p>
        </w:tc>
        <w:tc>
          <w:tcPr>
            <w:tcW w:type="dxa" w:w="1100"/>
            <w:shd w:val="clear" w:color="auto" w:fill="F2F2F2"/>
          </w:tcPr>
          <w:p>
            <w:pPr>
              <w:spacing w:after="0" w:before="0"/>
            </w:pPr>
            <w:r>
              <w:rPr>
                <w:rFonts w:ascii="Arial" w:hAnsi="Arial"/>
                <w:b w:val="0"/>
                <w:sz w:val="17"/>
              </w:rPr>
              <w:t>See Appendix A</w:t>
            </w:r>
          </w:p>
        </w:tc>
        <w:tc>
          <w:tcPr>
            <w:tcW w:type="dxa" w:w="2926"/>
            <w:shd w:val="clear" w:color="auto" w:fill="F2F2F2"/>
          </w:tcPr>
          <w:p>
            <w:pPr>
              <w:spacing w:after="0" w:before="0"/>
            </w:pPr>
            <w:r>
              <w:rPr>
                <w:rFonts w:ascii="Arial" w:hAnsi="Arial"/>
                <w:b w:val="0"/>
                <w:sz w:val="17"/>
              </w:rPr>
              <w:t>Expert estimate</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[Gynaecology clinical benefit owner]</w:t>
            </w:r>
          </w:p>
        </w:tc>
      </w:tr>
      <w:tr>
        <w:tc>
          <w:tcPr>
            <w:tcW w:type="dxa" w:w="2500"/>
          </w:tcPr>
          <w:p>
            <w:pPr>
              <w:spacing w:after="0" w:before="0"/>
            </w:pPr>
            <w:r>
              <w:rPr>
                <w:rFonts w:ascii="Arial" w:hAnsi="Arial"/>
                <w:b w:val="0"/>
                <w:sz w:val="17"/>
              </w:rPr>
              <w:t>Abdominal wall reconstruction: annual demand (robotic cases)</w:t>
            </w:r>
          </w:p>
        </w:tc>
        <w:tc>
          <w:tcPr>
            <w:tcW w:type="dxa" w:w="1100"/>
          </w:tcPr>
          <w:p>
            <w:pPr>
              <w:spacing w:after="0" w:before="0"/>
            </w:pPr>
            <w:r>
              <w:rPr>
                <w:rFonts w:ascii="Arial" w:hAnsi="Arial"/>
                <w:b w:val="0"/>
                <w:sz w:val="17"/>
              </w:rPr>
              <w:t>80</w:t>
            </w:r>
          </w:p>
        </w:tc>
        <w:tc>
          <w:tcPr>
            <w:tcW w:type="dxa" w:w="2926"/>
          </w:tcPr>
          <w:p>
            <w:pPr>
              <w:spacing w:after="0" w:before="0"/>
            </w:pPr>
            <w:r>
              <w:rPr>
                <w:rFonts w:ascii="Arial" w:hAnsi="Arial"/>
                <w:b w:val="0"/>
                <w:sz w:val="17"/>
              </w:rPr>
              <w:t>Trust activity data (preset values are placeholders)</w:t>
            </w:r>
          </w:p>
        </w:tc>
        <w:tc>
          <w:tcPr>
            <w:tcW w:type="dxa" w:w="1100"/>
          </w:tcPr>
          <w:p>
            <w:pPr>
              <w:spacing w:after="0" w:before="0"/>
            </w:pPr>
            <w:r>
              <w:rPr>
                <w:rFonts w:ascii="Arial" w:hAnsi="Arial"/>
                <w:b w:val="0"/>
                <w:sz w:val="17"/>
              </w:rPr>
              <w:t>Trust input</w:t>
            </w:r>
          </w:p>
        </w:tc>
        <w:tc>
          <w:tcPr>
            <w:tcW w:type="dxa" w:w="1400"/>
          </w:tcPr>
          <w:p>
            <w:pPr>
              <w:spacing w:after="0" w:before="0"/>
            </w:pPr>
            <w:r>
              <w:rPr>
                <w:rFonts w:ascii="Arial" w:hAnsi="Arial"/>
                <w:b w:val="0"/>
                <w:sz w:val="17"/>
                <w:highlight w:val="yellow"/>
              </w:rPr>
              <w:t>[General surgery clinical benefit owner]</w:t>
            </w:r>
          </w:p>
        </w:tc>
      </w:tr>
      <w:tr>
        <w:tc>
          <w:tcPr>
            <w:tcW w:type="dxa" w:w="2500"/>
            <w:shd w:val="clear" w:color="auto" w:fill="F2F2F2"/>
          </w:tcPr>
          <w:p>
            <w:pPr>
              <w:spacing w:after="0" w:before="0"/>
            </w:pPr>
            <w:r>
              <w:rPr>
                <w:rFonts w:ascii="Arial" w:hAnsi="Arial"/>
                <w:b w:val="0"/>
                <w:sz w:val="17"/>
              </w:rPr>
              <w:t>Abdominal wall reconstruction: share that would be open without the robot</w:t>
            </w:r>
          </w:p>
        </w:tc>
        <w:tc>
          <w:tcPr>
            <w:tcW w:type="dxa" w:w="1100"/>
            <w:shd w:val="clear" w:color="auto" w:fill="F2F2F2"/>
          </w:tcPr>
          <w:p>
            <w:pPr>
              <w:spacing w:after="0" w:before="0"/>
            </w:pPr>
            <w:r>
              <w:rPr>
                <w:rFonts w:ascii="Arial" w:hAnsi="Arial"/>
                <w:b w:val="0"/>
                <w:sz w:val="17"/>
              </w:rPr>
              <w:t>70%</w:t>
            </w:r>
          </w:p>
        </w:tc>
        <w:tc>
          <w:tcPr>
            <w:tcW w:type="dxa" w:w="2926"/>
            <w:shd w:val="clear" w:color="auto" w:fill="F2F2F2"/>
          </w:tcPr>
          <w:p>
            <w:pPr>
              <w:spacing w:after="0" w:before="0"/>
            </w:pPr>
            <w:r>
              <w:rPr>
                <w:rFonts w:ascii="Arial" w:hAnsi="Arial"/>
                <w:b w:val="0"/>
                <w:sz w:val="17"/>
              </w:rPr>
              <w:t>World J Emerg Surg 2025 (open repair commonest in UK national data)</w:t>
            </w:r>
          </w:p>
        </w:tc>
        <w:tc>
          <w:tcPr>
            <w:tcW w:type="dxa" w:w="1100"/>
            <w:shd w:val="clear" w:color="auto" w:fill="F2F2F2"/>
          </w:tcPr>
          <w:p>
            <w:pPr>
              <w:spacing w:after="0" w:before="0"/>
            </w:pPr>
            <w:r>
              <w:rPr>
                <w:rFonts w:ascii="Arial" w:hAnsi="Arial"/>
                <w:b w:val="0"/>
                <w:sz w:val="17"/>
              </w:rPr>
              <w:t>Context only</w:t>
            </w:r>
          </w:p>
        </w:tc>
        <w:tc>
          <w:tcPr>
            <w:tcW w:type="dxa" w:w="1400"/>
            <w:shd w:val="clear" w:color="auto" w:fill="F2F2F2"/>
          </w:tcPr>
          <w:p>
            <w:pPr>
              <w:spacing w:after="0" w:before="0"/>
            </w:pPr>
            <w:r>
              <w:rPr>
                <w:rFonts w:ascii="Arial" w:hAnsi="Arial"/>
                <w:b w:val="0"/>
                <w:sz w:val="17"/>
                <w:highlight w:val="yellow"/>
              </w:rPr>
              <w:t>[General surgery clinical benefit owner]</w:t>
            </w:r>
          </w:p>
        </w:tc>
      </w:tr>
      <w:tr>
        <w:tc>
          <w:tcPr>
            <w:tcW w:type="dxa" w:w="2500"/>
          </w:tcPr>
          <w:p>
            <w:pPr>
              <w:spacing w:after="0" w:before="0"/>
            </w:pPr>
            <w:r>
              <w:rPr>
                <w:rFonts w:ascii="Arial" w:hAnsi="Arial"/>
                <w:b w:val="0"/>
                <w:sz w:val="17"/>
              </w:rPr>
              <w:t>Abdominal wall reconstruction: 30-day assumptions</w:t>
            </w:r>
          </w:p>
        </w:tc>
        <w:tc>
          <w:tcPr>
            <w:tcW w:type="dxa" w:w="1100"/>
          </w:tcPr>
          <w:p>
            <w:pPr>
              <w:spacing w:after="0" w:before="0"/>
            </w:pPr>
            <w:r>
              <w:rPr>
                <w:rFonts w:ascii="Arial" w:hAnsi="Arial"/>
                <w:b w:val="0"/>
                <w:sz w:val="17"/>
              </w:rPr>
              <w:t>See Appendix A</w:t>
            </w:r>
          </w:p>
        </w:tc>
        <w:tc>
          <w:tcPr>
            <w:tcW w:type="dxa" w:w="2926"/>
          </w:tcPr>
          <w:p>
            <w:pPr>
              <w:spacing w:after="0" w:before="0"/>
            </w:pPr>
            <w:r>
              <w:rPr>
                <w:rFonts w:ascii="Arial" w:hAnsi="Arial"/>
                <w:b w:val="0"/>
                <w:sz w:val="17"/>
              </w:rPr>
              <w:t>Set for ventral and incisional hernia repair, not reconstruction</w:t>
            </w:r>
          </w:p>
        </w:tc>
        <w:tc>
          <w:tcPr>
            <w:tcW w:type="dxa" w:w="1100"/>
          </w:tcPr>
          <w:p>
            <w:pPr>
              <w:spacing w:after="0" w:before="0"/>
            </w:pPr>
            <w:r>
              <w:rPr>
                <w:rFonts w:ascii="Arial" w:hAnsi="Arial"/>
                <w:b w:val="0"/>
                <w:sz w:val="17"/>
              </w:rPr>
              <w:t>Flagged for review</w:t>
            </w:r>
          </w:p>
        </w:tc>
        <w:tc>
          <w:tcPr>
            <w:tcW w:type="dxa" w:w="1400"/>
          </w:tcPr>
          <w:p>
            <w:pPr>
              <w:spacing w:after="0" w:before="0"/>
            </w:pPr>
            <w:r>
              <w:rPr>
                <w:rFonts w:ascii="Arial" w:hAnsi="Arial"/>
                <w:b w:val="0"/>
                <w:sz w:val="17"/>
                <w:highlight w:val="yellow"/>
              </w:rPr>
              <w:t>[General surgery clinical benefit owner]</w:t>
            </w:r>
          </w:p>
        </w:tc>
      </w:tr>
      <w:tr>
        <w:tc>
          <w:tcPr>
            <w:tcW w:type="dxa" w:w="2500"/>
            <w:shd w:val="clear" w:color="auto" w:fill="F2F2F2"/>
          </w:tcPr>
          <w:p>
            <w:pPr>
              <w:spacing w:after="0" w:before="0"/>
            </w:pPr>
            <w:r>
              <w:rPr>
                <w:rFonts w:ascii="Arial" w:hAnsi="Arial"/>
                <w:b w:val="0"/>
                <w:sz w:val="17"/>
              </w:rPr>
              <w:t>Abdominal wall reconstruction: 30-day differences (bed-days, events, theatre time)</w:t>
            </w:r>
          </w:p>
        </w:tc>
        <w:tc>
          <w:tcPr>
            <w:tcW w:type="dxa" w:w="1100"/>
            <w:shd w:val="clear" w:color="auto" w:fill="F2F2F2"/>
          </w:tcPr>
          <w:p>
            <w:pPr>
              <w:spacing w:after="0" w:before="0"/>
            </w:pPr>
            <w:r>
              <w:rPr>
                <w:rFonts w:ascii="Arial" w:hAnsi="Arial"/>
                <w:b w:val="0"/>
                <w:sz w:val="17"/>
              </w:rPr>
              <w:t>See Appendix A</w:t>
            </w:r>
          </w:p>
        </w:tc>
        <w:tc>
          <w:tcPr>
            <w:tcW w:type="dxa" w:w="2926"/>
            <w:shd w:val="clear" w:color="auto" w:fill="F2F2F2"/>
          </w:tcPr>
          <w:p>
            <w:pPr>
              <w:spacing w:after="0" w:before="0"/>
            </w:pPr>
            <w:r>
              <w:rPr>
                <w:rFonts w:ascii="Arial" w:hAnsi="Arial"/>
                <w:b w:val="0"/>
                <w:sz w:val="17"/>
              </w:rPr>
              <w:t>Expert estimate</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[General surgery clinical benefit owner]</w:t>
            </w:r>
          </w:p>
        </w:tc>
      </w:tr>
      <w:tr>
        <w:tc>
          <w:tcPr>
            <w:tcW w:type="dxa" w:w="2500"/>
          </w:tcPr>
          <w:p>
            <w:pPr>
              <w:spacing w:after="0" w:before="0"/>
            </w:pPr>
            <w:r>
              <w:rPr>
                <w:rFonts w:ascii="Arial" w:hAnsi="Arial"/>
                <w:b w:val="0"/>
                <w:sz w:val="17"/>
              </w:rPr>
              <w:t>Upper GI (anti-reflux and hiatal hernia): annual demand (robotic cases)</w:t>
            </w:r>
          </w:p>
        </w:tc>
        <w:tc>
          <w:tcPr>
            <w:tcW w:type="dxa" w:w="1100"/>
          </w:tcPr>
          <w:p>
            <w:pPr>
              <w:spacing w:after="0" w:before="0"/>
            </w:pPr>
            <w:r>
              <w:rPr>
                <w:rFonts w:ascii="Arial" w:hAnsi="Arial"/>
                <w:b w:val="0"/>
                <w:sz w:val="17"/>
              </w:rPr>
              <w:t>20</w:t>
            </w:r>
          </w:p>
        </w:tc>
        <w:tc>
          <w:tcPr>
            <w:tcW w:type="dxa" w:w="2926"/>
          </w:tcPr>
          <w:p>
            <w:pPr>
              <w:spacing w:after="0" w:before="0"/>
            </w:pPr>
            <w:r>
              <w:rPr>
                <w:rFonts w:ascii="Arial" w:hAnsi="Arial"/>
                <w:b w:val="0"/>
                <w:sz w:val="17"/>
              </w:rPr>
              <w:t>Trust activity data (preset values are placeholders)</w:t>
            </w:r>
          </w:p>
        </w:tc>
        <w:tc>
          <w:tcPr>
            <w:tcW w:type="dxa" w:w="1100"/>
          </w:tcPr>
          <w:p>
            <w:pPr>
              <w:spacing w:after="0" w:before="0"/>
            </w:pPr>
            <w:r>
              <w:rPr>
                <w:rFonts w:ascii="Arial" w:hAnsi="Arial"/>
                <w:b w:val="0"/>
                <w:sz w:val="17"/>
              </w:rPr>
              <w:t>Trust input</w:t>
            </w:r>
          </w:p>
        </w:tc>
        <w:tc>
          <w:tcPr>
            <w:tcW w:type="dxa" w:w="1400"/>
          </w:tcPr>
          <w:p>
            <w:pPr>
              <w:spacing w:after="0" w:before="0"/>
            </w:pPr>
            <w:r>
              <w:rPr>
                <w:rFonts w:ascii="Arial" w:hAnsi="Arial"/>
                <w:b w:val="0"/>
                <w:sz w:val="17"/>
                <w:highlight w:val="yellow"/>
              </w:rPr>
              <w:t>[Upper GI clinical benefit owner]</w:t>
            </w:r>
          </w:p>
        </w:tc>
      </w:tr>
      <w:tr>
        <w:tc>
          <w:tcPr>
            <w:tcW w:type="dxa" w:w="2500"/>
            <w:shd w:val="clear" w:color="auto" w:fill="F2F2F2"/>
          </w:tcPr>
          <w:p>
            <w:pPr>
              <w:spacing w:after="0" w:before="0"/>
            </w:pPr>
            <w:r>
              <w:rPr>
                <w:rFonts w:ascii="Arial" w:hAnsi="Arial"/>
                <w:b w:val="0"/>
                <w:sz w:val="17"/>
              </w:rPr>
              <w:t>Upper GI (anti-reflux and hiatal hernia): share that would be open without the robot</w:t>
            </w:r>
          </w:p>
        </w:tc>
        <w:tc>
          <w:tcPr>
            <w:tcW w:type="dxa" w:w="1100"/>
            <w:shd w:val="clear" w:color="auto" w:fill="F2F2F2"/>
          </w:tcPr>
          <w:p>
            <w:pPr>
              <w:spacing w:after="0" w:before="0"/>
            </w:pPr>
            <w:r>
              <w:rPr>
                <w:rFonts w:ascii="Arial" w:hAnsi="Arial"/>
                <w:b w:val="0"/>
                <w:sz w:val="17"/>
              </w:rPr>
              <w:t>5%</w:t>
            </w:r>
          </w:p>
        </w:tc>
        <w:tc>
          <w:tcPr>
            <w:tcW w:type="dxa" w:w="2926"/>
            <w:shd w:val="clear" w:color="auto" w:fill="F2F2F2"/>
          </w:tcPr>
          <w:p>
            <w:pPr>
              <w:spacing w:after="0" w:before="0"/>
            </w:pPr>
            <w:r>
              <w:rPr>
                <w:rFonts w:ascii="Arial" w:hAnsi="Arial"/>
                <w:b w:val="0"/>
                <w:sz w:val="17"/>
              </w:rPr>
              <w:t>None found</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[Upper GI clinical benefit owner]</w:t>
            </w:r>
          </w:p>
        </w:tc>
      </w:tr>
      <w:tr>
        <w:tc>
          <w:tcPr>
            <w:tcW w:type="dxa" w:w="2500"/>
          </w:tcPr>
          <w:p>
            <w:pPr>
              <w:spacing w:after="0" w:before="0"/>
            </w:pPr>
            <w:r>
              <w:rPr>
                <w:rFonts w:ascii="Arial" w:hAnsi="Arial"/>
                <w:b w:val="0"/>
                <w:sz w:val="17"/>
              </w:rPr>
              <w:t>Upper GI (anti-reflux and hiatal hernia): 30-day differences (bed-days, events, theatre time)</w:t>
            </w:r>
          </w:p>
        </w:tc>
        <w:tc>
          <w:tcPr>
            <w:tcW w:type="dxa" w:w="1100"/>
          </w:tcPr>
          <w:p>
            <w:pPr>
              <w:spacing w:after="0" w:before="0"/>
            </w:pPr>
            <w:r>
              <w:rPr>
                <w:rFonts w:ascii="Arial" w:hAnsi="Arial"/>
                <w:b w:val="0"/>
                <w:sz w:val="17"/>
              </w:rPr>
              <w:t>See Appendix A</w:t>
            </w:r>
          </w:p>
        </w:tc>
        <w:tc>
          <w:tcPr>
            <w:tcW w:type="dxa" w:w="2926"/>
          </w:tcPr>
          <w:p>
            <w:pPr>
              <w:spacing w:after="0" w:before="0"/>
            </w:pPr>
            <w:r>
              <w:rPr>
                <w:rFonts w:ascii="Arial" w:hAnsi="Arial"/>
                <w:b w:val="0"/>
                <w:sz w:val="17"/>
              </w:rPr>
              <w:t>Expert estimate</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[Upper GI clinical benefit owner]</w:t>
            </w:r>
          </w:p>
        </w:tc>
      </w:tr>
      <w:tr>
        <w:tc>
          <w:tcPr>
            <w:tcW w:type="dxa" w:w="2500"/>
            <w:shd w:val="clear" w:color="auto" w:fill="F2F2F2"/>
          </w:tcPr>
          <w:p>
            <w:pPr>
              <w:spacing w:after="0" w:before="0"/>
            </w:pPr>
            <w:r>
              <w:rPr>
                <w:rFonts w:ascii="Arial" w:hAnsi="Arial"/>
                <w:b w:val="0"/>
                <w:sz w:val="17"/>
              </w:rPr>
              <w:t>Two-week theatre template</w:t>
            </w:r>
          </w:p>
        </w:tc>
        <w:tc>
          <w:tcPr>
            <w:tcW w:type="dxa" w:w="1100"/>
            <w:shd w:val="clear" w:color="auto" w:fill="F2F2F2"/>
          </w:tcPr>
          <w:p>
            <w:pPr>
              <w:spacing w:after="0" w:before="0"/>
            </w:pPr>
            <w:r>
              <w:rPr>
                <w:rFonts w:ascii="Arial" w:hAnsi="Arial"/>
                <w:b w:val="0"/>
                <w:sz w:val="17"/>
              </w:rPr>
              <w:t>Standard day, pre-filled from demand</w:t>
            </w:r>
          </w:p>
        </w:tc>
        <w:tc>
          <w:tcPr>
            <w:tcW w:type="dxa" w:w="2926"/>
            <w:shd w:val="clear" w:color="auto" w:fill="F2F2F2"/>
          </w:tcPr>
          <w:p>
            <w:pPr>
              <w:spacing w:after="0" w:before="0"/>
            </w:pPr>
            <w:r>
              <w:rPr>
                <w:rFonts w:ascii="Arial" w:hAnsi="Arial"/>
                <w:b w:val="0"/>
                <w:sz w:val="17"/>
              </w:rPr>
              <w:t>Trust theatre plan</w:t>
            </w:r>
          </w:p>
        </w:tc>
        <w:tc>
          <w:tcPr>
            <w:tcW w:type="dxa" w:w="1100"/>
            <w:shd w:val="clear" w:color="auto" w:fill="F2F2F2"/>
          </w:tcPr>
          <w:p>
            <w:pPr>
              <w:spacing w:after="0" w:before="0"/>
            </w:pPr>
            <w:r>
              <w:rPr>
                <w:rFonts w:ascii="Arial" w:hAnsi="Arial"/>
                <w:b w:val="0"/>
                <w:sz w:val="17"/>
              </w:rPr>
              <w:t>Trust input</w:t>
            </w:r>
          </w:p>
        </w:tc>
        <w:tc>
          <w:tcPr>
            <w:tcW w:type="dxa" w:w="1400"/>
            <w:shd w:val="clear" w:color="auto" w:fill="F2F2F2"/>
          </w:tcPr>
          <w:p>
            <w:pPr>
              <w:spacing w:after="0" w:before="0"/>
            </w:pPr>
            <w:r>
              <w:rPr>
                <w:rFonts w:ascii="Arial" w:hAnsi="Arial"/>
                <w:b w:val="0"/>
                <w:sz w:val="17"/>
                <w:highlight w:val="yellow"/>
              </w:rPr>
              <w:t>[Theatres lead]</w:t>
            </w:r>
          </w:p>
        </w:tc>
      </w:tr>
      <w:tr>
        <w:tc>
          <w:tcPr>
            <w:tcW w:type="dxa" w:w="2500"/>
          </w:tcPr>
          <w:p>
            <w:pPr>
              <w:spacing w:after="0" w:before="0"/>
            </w:pPr>
            <w:r>
              <w:rPr>
                <w:rFonts w:ascii="Arial" w:hAnsi="Arial"/>
                <w:b w:val="0"/>
                <w:sz w:val="17"/>
              </w:rPr>
              <w:t>Gynaecology major cases: split by procedure</w:t>
            </w:r>
          </w:p>
        </w:tc>
        <w:tc>
          <w:tcPr>
            <w:tcW w:type="dxa" w:w="1100"/>
          </w:tcPr>
          <w:p>
            <w:pPr>
              <w:spacing w:after="0" w:before="0"/>
            </w:pPr>
            <w:r>
              <w:rPr>
                <w:rFonts w:ascii="Arial" w:hAnsi="Arial"/>
                <w:b w:val="0"/>
                <w:sz w:val="17"/>
              </w:rPr>
              <w:t>Hysterectomy (benign and malignant) 40%, Endometriosis excision 50%, Myomectomy 10%</w:t>
            </w:r>
          </w:p>
        </w:tc>
        <w:tc>
          <w:tcPr>
            <w:tcW w:type="dxa" w:w="2926"/>
          </w:tcPr>
          <w:p>
            <w:pPr>
              <w:spacing w:after="0" w:before="0"/>
            </w:pPr>
            <w:r>
              <w:rPr>
                <w:rFonts w:ascii="Arial" w:hAnsi="Arial"/>
                <w:b w:val="0"/>
                <w:sz w:val="17"/>
              </w:rPr>
              <w:t>Clinical lead's estimate (40% hysterectomy, 50% endometriosis, 10% myomectomy), being confirmed</w:t>
            </w:r>
          </w:p>
        </w:tc>
        <w:tc>
          <w:tcPr>
            <w:tcW w:type="dxa" w:w="1100"/>
          </w:tcPr>
          <w:p>
            <w:pPr>
              <w:spacing w:after="0" w:before="0"/>
            </w:pPr>
            <w:r>
              <w:rPr>
                <w:rFonts w:ascii="Arial" w:hAnsi="Arial"/>
                <w:b w:val="0"/>
                <w:sz w:val="17"/>
              </w:rPr>
              <w:t>Assumption</w:t>
            </w:r>
          </w:p>
        </w:tc>
        <w:tc>
          <w:tcPr>
            <w:tcW w:type="dxa" w:w="1400"/>
          </w:tcPr>
          <w:p>
            <w:pPr>
              <w:spacing w:after="0" w:before="0"/>
            </w:pPr>
            <w:r>
              <w:rPr>
                <w:rFonts w:ascii="Arial" w:hAnsi="Arial"/>
                <w:b w:val="0"/>
                <w:sz w:val="17"/>
                <w:highlight w:val="yellow"/>
              </w:rPr>
              <w:t>[Clinical lead]</w:t>
            </w:r>
          </w:p>
        </w:tc>
      </w:tr>
      <w:tr>
        <w:tc>
          <w:tcPr>
            <w:tcW w:type="dxa" w:w="2500"/>
            <w:shd w:val="clear" w:color="auto" w:fill="F2F2F2"/>
          </w:tcPr>
          <w:p>
            <w:pPr>
              <w:spacing w:after="0" w:before="0"/>
            </w:pPr>
            <w:r>
              <w:rPr>
                <w:rFonts w:ascii="Arial" w:hAnsi="Arial"/>
                <w:b w:val="0"/>
                <w:sz w:val="17"/>
              </w:rPr>
              <w:t>Major, medium and minor tiers: which procedure each counts as</w:t>
            </w:r>
          </w:p>
        </w:tc>
        <w:tc>
          <w:tcPr>
            <w:tcW w:type="dxa" w:w="1100"/>
            <w:shd w:val="clear" w:color="auto" w:fill="F2F2F2"/>
          </w:tcPr>
          <w:p>
            <w:pPr>
              <w:spacing w:after="0" w:before="0"/>
            </w:pPr>
            <w:r>
              <w:rPr>
                <w:rFonts w:ascii="Arial" w:hAnsi="Arial"/>
                <w:b w:val="0"/>
                <w:sz w:val="17"/>
              </w:rPr>
              <w:t>See Appendix A</w:t>
            </w:r>
          </w:p>
        </w:tc>
        <w:tc>
          <w:tcPr>
            <w:tcW w:type="dxa" w:w="2926"/>
            <w:shd w:val="clear" w:color="auto" w:fill="F2F2F2"/>
          </w:tcPr>
          <w:p>
            <w:pPr>
              <w:spacing w:after="0" w:before="0"/>
            </w:pPr>
            <w:r>
              <w:rPr>
                <w:rFonts w:ascii="Arial" w:hAnsi="Arial"/>
                <w:b w:val="0"/>
                <w:sz w:val="17"/>
              </w:rPr>
              <w:t>Clinical lead's mapping (v0.6); medium tier for prostate, kidney and bladder lists</w:t>
            </w:r>
          </w:p>
        </w:tc>
        <w:tc>
          <w:tcPr>
            <w:tcW w:type="dxa" w:w="1100"/>
            <w:shd w:val="clear" w:color="auto" w:fill="F2F2F2"/>
          </w:tcPr>
          <w:p>
            <w:pPr>
              <w:spacing w:after="0" w:before="0"/>
            </w:pPr>
            <w:r>
              <w:rPr>
                <w:rFonts w:ascii="Arial" w:hAnsi="Arial"/>
                <w:b w:val="0"/>
                <w:sz w:val="17"/>
              </w:rPr>
              <w:t>Assumption</w:t>
            </w:r>
          </w:p>
        </w:tc>
        <w:tc>
          <w:tcPr>
            <w:tcW w:type="dxa" w:w="1400"/>
            <w:shd w:val="clear" w:color="auto" w:fill="F2F2F2"/>
          </w:tcPr>
          <w:p>
            <w:pPr>
              <w:spacing w:after="0" w:before="0"/>
            </w:pPr>
            <w:r>
              <w:rPr>
                <w:rFonts w:ascii="Arial" w:hAnsi="Arial"/>
                <w:b w:val="0"/>
                <w:sz w:val="17"/>
                <w:highlight w:val="yellow"/>
              </w:rPr>
              <w:t>[Clinical lead]</w:t>
            </w:r>
          </w:p>
        </w:tc>
      </w:tr>
      <w:tr>
        <w:tc>
          <w:tcPr>
            <w:tcW w:type="dxa" w:w="2500"/>
          </w:tcPr>
          <w:p>
            <w:pPr>
              <w:spacing w:after="0" w:before="0"/>
            </w:pPr>
            <w:r>
              <w:rPr>
                <w:rFonts w:ascii="Arial" w:hAnsi="Arial"/>
                <w:b w:val="0"/>
                <w:sz w:val="17"/>
              </w:rPr>
              <w:t>Maximum cases per session</w:t>
            </w:r>
          </w:p>
        </w:tc>
        <w:tc>
          <w:tcPr>
            <w:tcW w:type="dxa" w:w="1100"/>
          </w:tcPr>
          <w:p>
            <w:pPr>
              <w:spacing w:after="0" w:before="0"/>
            </w:pPr>
            <w:r>
              <w:rPr>
                <w:rFonts w:ascii="Arial" w:hAnsi="Arial"/>
                <w:b w:val="0"/>
                <w:sz w:val="17"/>
              </w:rPr>
              <w:t>3</w:t>
            </w:r>
          </w:p>
        </w:tc>
        <w:tc>
          <w:tcPr>
            <w:tcW w:type="dxa" w:w="2926"/>
          </w:tcPr>
          <w:p>
            <w:pPr>
              <w:spacing w:after="0" w:before="0"/>
            </w:pPr>
            <w:r>
              <w:rPr>
                <w:rFonts w:ascii="Arial" w:hAnsi="Arial"/>
                <w:b w:val="0"/>
                <w:sz w:val="17"/>
              </w:rPr>
              <w:t>Clinical lead's default; adjustable</w:t>
            </w:r>
          </w:p>
        </w:tc>
        <w:tc>
          <w:tcPr>
            <w:tcW w:type="dxa" w:w="1100"/>
          </w:tcPr>
          <w:p>
            <w:pPr>
              <w:spacing w:after="0" w:before="0"/>
            </w:pPr>
            <w:r>
              <w:rPr>
                <w:rFonts w:ascii="Arial" w:hAnsi="Arial"/>
                <w:b w:val="0"/>
                <w:sz w:val="17"/>
              </w:rPr>
              <w:t>Assumption</w:t>
            </w:r>
          </w:p>
        </w:tc>
        <w:tc>
          <w:tcPr>
            <w:tcW w:type="dxa" w:w="1400"/>
          </w:tcPr>
          <w:p>
            <w:pPr>
              <w:spacing w:after="0" w:before="0"/>
            </w:pPr>
            <w:r>
              <w:rPr>
                <w:rFonts w:ascii="Arial" w:hAnsi="Arial"/>
                <w:b w:val="0"/>
                <w:sz w:val="17"/>
                <w:highlight w:val="yellow"/>
              </w:rPr>
              <w:t>[Clinical lead]</w:t>
            </w:r>
          </w:p>
        </w:tc>
      </w:tr>
      <w:tr>
        <w:tc>
          <w:tcPr>
            <w:tcW w:type="dxa" w:w="2500"/>
            <w:shd w:val="clear" w:color="auto" w:fill="F2F2F2"/>
          </w:tcPr>
          <w:p>
            <w:pPr>
              <w:spacing w:after="0" w:before="0"/>
            </w:pPr>
            <w:r>
              <w:rPr>
                <w:rFonts w:ascii="Arial" w:hAnsi="Arial"/>
                <w:b w:val="0"/>
                <w:sz w:val="17"/>
              </w:rPr>
              <w:t>Share of templated cases that go ahead</w:t>
            </w:r>
          </w:p>
        </w:tc>
        <w:tc>
          <w:tcPr>
            <w:tcW w:type="dxa" w:w="1100"/>
            <w:shd w:val="clear" w:color="auto" w:fill="F2F2F2"/>
          </w:tcPr>
          <w:p>
            <w:pPr>
              <w:spacing w:after="0" w:before="0"/>
            </w:pPr>
            <w:r>
              <w:rPr>
                <w:rFonts w:ascii="Arial" w:hAnsi="Arial"/>
                <w:b w:val="0"/>
                <w:sz w:val="17"/>
              </w:rPr>
              <w:t>100%</w:t>
            </w:r>
          </w:p>
        </w:tc>
        <w:tc>
          <w:tcPr>
            <w:tcW w:type="dxa" w:w="2926"/>
            <w:shd w:val="clear" w:color="auto" w:fill="F2F2F2"/>
          </w:tcPr>
          <w:p>
            <w:pPr>
              <w:spacing w:after="0" w:before="0"/>
            </w:pPr>
            <w:r>
              <w:rPr>
                <w:rFonts w:ascii="Arial" w:hAnsi="Arial"/>
                <w:b w:val="0"/>
                <w:sz w:val="17"/>
              </w:rPr>
              <w:t>None found (cancellations and under-runs)</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[Theatres lead]</w:t>
            </w:r>
          </w:p>
        </w:tc>
      </w:tr>
      <w:tr>
        <w:tc>
          <w:tcPr>
            <w:tcW w:type="dxa" w:w="2500"/>
          </w:tcPr>
          <w:p>
            <w:pPr>
              <w:spacing w:after="0" w:before="0"/>
            </w:pPr>
            <w:r>
              <w:rPr>
                <w:rFonts w:ascii="Arial" w:hAnsi="Arial"/>
                <w:b w:val="0"/>
                <w:sz w:val="17"/>
              </w:rPr>
              <w:t>Cases that map to no modelled procedure</w:t>
            </w:r>
          </w:p>
        </w:tc>
        <w:tc>
          <w:tcPr>
            <w:tcW w:type="dxa" w:w="1100"/>
          </w:tcPr>
          <w:p>
            <w:pPr>
              <w:spacing w:after="0" w:before="0"/>
            </w:pPr>
            <w:r>
              <w:rPr>
                <w:rFonts w:ascii="Arial" w:hAnsi="Arial"/>
                <w:b w:val="0"/>
                <w:sz w:val="17"/>
              </w:rPr>
              <w:t>Costed, no 30-day benefit</w:t>
            </w:r>
          </w:p>
        </w:tc>
        <w:tc>
          <w:tcPr>
            <w:tcW w:type="dxa" w:w="2926"/>
          </w:tcPr>
          <w:p>
            <w:pPr>
              <w:spacing w:after="0" w:before="0"/>
            </w:pPr>
            <w:r>
              <w:rPr>
                <w:rFonts w:ascii="Arial" w:hAnsi="Arial"/>
                <w:b w:val="0"/>
                <w:sz w:val="17"/>
              </w:rPr>
              <w:t>Project team decision (conservative)</w:t>
            </w:r>
          </w:p>
        </w:tc>
        <w:tc>
          <w:tcPr>
            <w:tcW w:type="dxa" w:w="1100"/>
          </w:tcPr>
          <w:p>
            <w:pPr>
              <w:spacing w:after="0" w:before="0"/>
            </w:pPr>
            <w:r>
              <w:rPr>
                <w:rFonts w:ascii="Arial" w:hAnsi="Arial"/>
                <w:b w:val="0"/>
                <w:sz w:val="17"/>
              </w:rPr>
              <w:t>Assumption</w:t>
            </w:r>
          </w:p>
        </w:tc>
        <w:tc>
          <w:tcPr>
            <w:tcW w:type="dxa" w:w="1400"/>
          </w:tcPr>
          <w:p>
            <w:pPr>
              <w:spacing w:after="0" w:before="0"/>
            </w:pPr>
            <w:r>
              <w:rPr>
                <w:rFonts w:ascii="Arial" w:hAnsi="Arial"/>
                <w:b w:val="0"/>
                <w:sz w:val="17"/>
                <w:highlight w:val="yellow"/>
              </w:rPr>
              <w:t>[Project team]</w:t>
            </w:r>
          </w:p>
        </w:tc>
      </w:tr>
      <w:tr>
        <w:tc>
          <w:tcPr>
            <w:tcW w:type="dxa" w:w="2500"/>
            <w:shd w:val="clear" w:color="auto" w:fill="F2F2F2"/>
          </w:tcPr>
          <w:p>
            <w:pPr>
              <w:spacing w:after="0" w:before="0"/>
            </w:pPr>
            <w:r>
              <w:rPr>
                <w:rFonts w:ascii="Arial" w:hAnsi="Arial"/>
                <w:b w:val="0"/>
                <w:sz w:val="17"/>
              </w:rPr>
              <w:t>Extra tariff income, all other procedures</w:t>
            </w:r>
          </w:p>
        </w:tc>
        <w:tc>
          <w:tcPr>
            <w:tcW w:type="dxa" w:w="1100"/>
            <w:shd w:val="clear" w:color="auto" w:fill="F2F2F2"/>
          </w:tcPr>
          <w:p>
            <w:pPr>
              <w:spacing w:after="0" w:before="0"/>
            </w:pPr>
            <w:r>
              <w:rPr>
                <w:rFonts w:ascii="Arial" w:hAnsi="Arial"/>
                <w:b w:val="0"/>
                <w:sz w:val="17"/>
              </w:rPr>
              <w:t>£0</w:t>
            </w:r>
          </w:p>
        </w:tc>
        <w:tc>
          <w:tcPr>
            <w:tcW w:type="dxa" w:w="2926"/>
            <w:shd w:val="clear" w:color="auto" w:fill="F2F2F2"/>
          </w:tcPr>
          <w:p>
            <w:pPr>
              <w:spacing w:after="0" w:before="0"/>
            </w:pPr>
            <w:r>
              <w:rPr>
                <w:rFonts w:ascii="Arial" w:hAnsi="Arial"/>
                <w:b w:val="0"/>
                <w:sz w:val="17"/>
              </w:rPr>
              <w:t>No robotic price difference identified: £0. Not checked per HRG.</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[Finance lead]</w:t>
            </w:r>
          </w:p>
        </w:tc>
      </w:tr>
      <w:tr>
        <w:tc>
          <w:tcPr>
            <w:tcW w:type="dxa" w:w="2500"/>
          </w:tcPr>
          <w:p>
            <w:pPr>
              <w:spacing w:after="0" w:before="0"/>
            </w:pPr>
            <w:r>
              <w:rPr>
                <w:rFonts w:ascii="Arial" w:hAnsi="Arial"/>
                <w:b w:val="0"/>
                <w:sz w:val="17"/>
              </w:rPr>
              <w:t>Tariff: patients would otherwise be treated at this trust</w:t>
            </w:r>
          </w:p>
        </w:tc>
        <w:tc>
          <w:tcPr>
            <w:tcW w:type="dxa" w:w="1100"/>
          </w:tcPr>
          <w:p>
            <w:pPr>
              <w:spacing w:after="0" w:before="0"/>
            </w:pPr>
            <w:r>
              <w:rPr>
                <w:rFonts w:ascii="Arial" w:hAnsi="Arial"/>
                <w:b w:val="0"/>
                <w:sz w:val="17"/>
              </w:rPr>
              <w:t>Assumed</w:t>
            </w:r>
          </w:p>
        </w:tc>
        <w:tc>
          <w:tcPr>
            <w:tcW w:type="dxa" w:w="2926"/>
          </w:tcPr>
          <w:p>
            <w:pPr>
              <w:spacing w:after="0" w:before="0"/>
            </w:pPr>
            <w:r>
              <w:rPr>
                <w:rFonts w:ascii="Arial" w:hAnsi="Arial"/>
                <w:b w:val="0"/>
                <w:sz w:val="17"/>
              </w:rPr>
              <w:t>If they would otherwise go to another provider, the trust gains the whole tariff and that provider loses it: a transfer, not a gain to the NHS</w:t>
            </w:r>
          </w:p>
        </w:tc>
        <w:tc>
          <w:tcPr>
            <w:tcW w:type="dxa" w:w="1100"/>
          </w:tcPr>
          <w:p>
            <w:pPr>
              <w:spacing w:after="0" w:before="0"/>
            </w:pPr>
            <w:r>
              <w:rPr>
                <w:rFonts w:ascii="Arial" w:hAnsi="Arial"/>
                <w:b w:val="0"/>
                <w:sz w:val="17"/>
              </w:rPr>
              <w:t>Assumption</w:t>
            </w:r>
          </w:p>
        </w:tc>
        <w:tc>
          <w:tcPr>
            <w:tcW w:type="dxa" w:w="1400"/>
          </w:tcPr>
          <w:p>
            <w:pPr>
              <w:spacing w:after="0" w:before="0"/>
            </w:pPr>
            <w:r>
              <w:rPr>
                <w:rFonts w:ascii="Arial" w:hAnsi="Arial"/>
                <w:b w:val="0"/>
                <w:sz w:val="17"/>
                <w:highlight w:val="yellow"/>
              </w:rPr>
              <w:t>[Finance lead]</w:t>
            </w:r>
          </w:p>
        </w:tc>
      </w:tr>
      <w:tr>
        <w:tc>
          <w:tcPr>
            <w:tcW w:type="dxa" w:w="2500"/>
            <w:shd w:val="clear" w:color="auto" w:fill="F2F2F2"/>
          </w:tcPr>
          <w:p>
            <w:pPr>
              <w:spacing w:after="0" w:before="0"/>
            </w:pPr>
            <w:r>
              <w:rPr>
                <w:rFonts w:ascii="Arial" w:hAnsi="Arial"/>
                <w:b w:val="0"/>
                <w:sz w:val="17"/>
              </w:rPr>
              <w:t>Tariff: payment mechanism and market forces factor</w:t>
            </w:r>
          </w:p>
        </w:tc>
        <w:tc>
          <w:tcPr>
            <w:tcW w:type="dxa" w:w="1100"/>
            <w:shd w:val="clear" w:color="auto" w:fill="F2F2F2"/>
          </w:tcPr>
          <w:p>
            <w:pPr>
              <w:spacing w:after="0" w:before="0"/>
            </w:pPr>
            <w:r>
              <w:rPr>
                <w:rFonts w:ascii="Arial" w:hAnsi="Arial"/>
                <w:b w:val="0"/>
                <w:sz w:val="17"/>
              </w:rPr>
              <w:t>Not modelled</w:t>
            </w:r>
          </w:p>
        </w:tc>
        <w:tc>
          <w:tcPr>
            <w:tcW w:type="dxa" w:w="2926"/>
            <w:shd w:val="clear" w:color="auto" w:fill="F2F2F2"/>
          </w:tcPr>
          <w:p>
            <w:pPr>
              <w:spacing w:after="0" w:before="0"/>
            </w:pPr>
            <w:r>
              <w:rPr>
                <w:rFonts w:ascii="Arial" w:hAnsi="Arial"/>
                <w:b w:val="0"/>
                <w:sz w:val="17"/>
              </w:rPr>
              <w:t>Elective income may be paid under aligned payment and incentive (fixed plus variable) rather than full unit prices; the market forces factor is not applied</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[Finance lead]</w:t>
            </w:r>
          </w:p>
        </w:tc>
      </w:tr>
      <w:tr>
        <w:tc>
          <w:tcPr>
            <w:tcW w:type="dxa" w:w="2500"/>
          </w:tcPr>
          <w:p>
            <w:pPr>
              <w:spacing w:after="0" w:before="0"/>
            </w:pPr>
            <w:r>
              <w:rPr>
                <w:rFonts w:ascii="Arial" w:hAnsi="Arial"/>
                <w:b w:val="0"/>
                <w:sz w:val="17"/>
              </w:rPr>
              <w:t>Excess bed-day (cost avoided, not cash)</w:t>
            </w:r>
          </w:p>
        </w:tc>
        <w:tc>
          <w:tcPr>
            <w:tcW w:type="dxa" w:w="1100"/>
          </w:tcPr>
          <w:p>
            <w:pPr>
              <w:spacing w:after="0" w:before="0"/>
            </w:pPr>
            <w:r>
              <w:rPr>
                <w:rFonts w:ascii="Arial" w:hAnsi="Arial"/>
                <w:b w:val="0"/>
                <w:sz w:val="17"/>
              </w:rPr>
              <w:t>£400</w:t>
            </w:r>
          </w:p>
        </w:tc>
        <w:tc>
          <w:tcPr>
            <w:tcW w:type="dxa" w:w="2926"/>
          </w:tcPr>
          <w:p>
            <w:pPr>
              <w:spacing w:after="0" w:before="0"/>
            </w:pPr>
            <w:r>
              <w:rPr>
                <w:rFonts w:ascii="Arial" w:hAnsi="Arial"/>
                <w:b w:val="0"/>
                <w:sz w:val="17"/>
              </w:rPr>
              <w:t>Single-trust FOI 2023/24 (£379); national context: UK Parliament written answer UIN 100046, December 2025 (elective bed-day £1,198, 2024/25)</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[Finance lead]</w:t>
            </w:r>
          </w:p>
        </w:tc>
      </w:tr>
      <w:tr>
        <w:tc>
          <w:tcPr>
            <w:tcW w:type="dxa" w:w="2500"/>
            <w:shd w:val="clear" w:color="auto" w:fill="F2F2F2"/>
          </w:tcPr>
          <w:p>
            <w:pPr>
              <w:spacing w:after="0" w:before="0"/>
            </w:pPr>
            <w:r>
              <w:rPr>
                <w:rFonts w:ascii="Arial" w:hAnsi="Arial"/>
                <w:b w:val="0"/>
                <w:sz w:val="17"/>
              </w:rPr>
              <w:t>Return to theatre (non-ward)</w:t>
            </w:r>
          </w:p>
        </w:tc>
        <w:tc>
          <w:tcPr>
            <w:tcW w:type="dxa" w:w="1100"/>
            <w:shd w:val="clear" w:color="auto" w:fill="F2F2F2"/>
          </w:tcPr>
          <w:p>
            <w:pPr>
              <w:spacing w:after="0" w:before="0"/>
            </w:pPr>
            <w:r>
              <w:rPr>
                <w:rFonts w:ascii="Arial" w:hAnsi="Arial"/>
                <w:b w:val="0"/>
                <w:sz w:val="17"/>
              </w:rPr>
              <w:t>£6,000</w:t>
            </w:r>
          </w:p>
        </w:tc>
        <w:tc>
          <w:tcPr>
            <w:tcW w:type="dxa" w:w="2926"/>
            <w:shd w:val="clear" w:color="auto" w:fill="F2F2F2"/>
          </w:tcPr>
          <w:p>
            <w:pPr>
              <w:spacing w:after="0" w:before="0"/>
            </w:pPr>
            <w:r>
              <w:rPr>
                <w:rFonts w:ascii="Arial" w:hAnsi="Arial"/>
                <w:b w:val="0"/>
                <w:sz w:val="17"/>
              </w:rPr>
              <w:t>None found</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[Finance lead]</w:t>
            </w:r>
          </w:p>
        </w:tc>
      </w:tr>
      <w:tr>
        <w:tc>
          <w:tcPr>
            <w:tcW w:type="dxa" w:w="2500"/>
          </w:tcPr>
          <w:p>
            <w:pPr>
              <w:spacing w:after="0" w:before="0"/>
            </w:pPr>
            <w:r>
              <w:rPr>
                <w:rFonts w:ascii="Arial" w:hAnsi="Arial"/>
                <w:b w:val="0"/>
                <w:sz w:val="17"/>
              </w:rPr>
              <w:t>Major complication (non-ward)</w:t>
            </w:r>
          </w:p>
        </w:tc>
        <w:tc>
          <w:tcPr>
            <w:tcW w:type="dxa" w:w="1100"/>
          </w:tcPr>
          <w:p>
            <w:pPr>
              <w:spacing w:after="0" w:before="0"/>
            </w:pPr>
            <w:r>
              <w:rPr>
                <w:rFonts w:ascii="Arial" w:hAnsi="Arial"/>
                <w:b w:val="0"/>
                <w:sz w:val="17"/>
              </w:rPr>
              <w:t>£4,000</w:t>
            </w:r>
          </w:p>
        </w:tc>
        <w:tc>
          <w:tcPr>
            <w:tcW w:type="dxa" w:w="2926"/>
          </w:tcPr>
          <w:p>
            <w:pPr>
              <w:spacing w:after="0" w:before="0"/>
            </w:pPr>
            <w:r>
              <w:rPr>
                <w:rFonts w:ascii="Arial" w:hAnsi="Arial"/>
                <w:b w:val="0"/>
                <w:sz w:val="17"/>
              </w:rPr>
              <w:t>None found</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[Finance lead]</w:t>
            </w:r>
          </w:p>
        </w:tc>
      </w:tr>
      <w:tr>
        <w:tc>
          <w:tcPr>
            <w:tcW w:type="dxa" w:w="2500"/>
            <w:shd w:val="clear" w:color="auto" w:fill="F2F2F2"/>
          </w:tcPr>
          <w:p>
            <w:pPr>
              <w:spacing w:after="0" w:before="0"/>
            </w:pPr>
            <w:r>
              <w:rPr>
                <w:rFonts w:ascii="Arial" w:hAnsi="Arial"/>
                <w:b w:val="0"/>
                <w:sz w:val="17"/>
              </w:rPr>
              <w:t>Readmission (full spell)</w:t>
            </w:r>
          </w:p>
        </w:tc>
        <w:tc>
          <w:tcPr>
            <w:tcW w:type="dxa" w:w="1100"/>
            <w:shd w:val="clear" w:color="auto" w:fill="F2F2F2"/>
          </w:tcPr>
          <w:p>
            <w:pPr>
              <w:spacing w:after="0" w:before="0"/>
            </w:pPr>
            <w:r>
              <w:rPr>
                <w:rFonts w:ascii="Arial" w:hAnsi="Arial"/>
                <w:b w:val="0"/>
                <w:sz w:val="17"/>
              </w:rPr>
              <w:t>£2,500</w:t>
            </w:r>
          </w:p>
        </w:tc>
        <w:tc>
          <w:tcPr>
            <w:tcW w:type="dxa" w:w="2926"/>
            <w:shd w:val="clear" w:color="auto" w:fill="F2F2F2"/>
          </w:tcPr>
          <w:p>
            <w:pPr>
              <w:spacing w:after="0" w:before="0"/>
            </w:pPr>
            <w:r>
              <w:rPr>
                <w:rFonts w:ascii="Arial" w:hAnsi="Arial"/>
                <w:b w:val="0"/>
                <w:sz w:val="17"/>
              </w:rPr>
              <w:t>None found</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[Finance lead]</w:t>
            </w:r>
          </w:p>
        </w:tc>
      </w:tr>
      <w:tr>
        <w:tc>
          <w:tcPr>
            <w:tcW w:type="dxa" w:w="2500"/>
          </w:tcPr>
          <w:p>
            <w:pPr>
              <w:spacing w:after="0" w:before="0"/>
            </w:pPr>
            <w:r>
              <w:rPr>
                <w:rFonts w:ascii="Arial" w:hAnsi="Arial"/>
                <w:b w:val="0"/>
                <w:sz w:val="17"/>
              </w:rPr>
              <w:t>Conversion to open (non-ward)</w:t>
            </w:r>
          </w:p>
        </w:tc>
        <w:tc>
          <w:tcPr>
            <w:tcW w:type="dxa" w:w="1100"/>
          </w:tcPr>
          <w:p>
            <w:pPr>
              <w:spacing w:after="0" w:before="0"/>
            </w:pPr>
            <w:r>
              <w:rPr>
                <w:rFonts w:ascii="Arial" w:hAnsi="Arial"/>
                <w:b w:val="0"/>
                <w:sz w:val="17"/>
              </w:rPr>
              <w:t>£1,000</w:t>
            </w:r>
          </w:p>
        </w:tc>
        <w:tc>
          <w:tcPr>
            <w:tcW w:type="dxa" w:w="2926"/>
          </w:tcPr>
          <w:p>
            <w:pPr>
              <w:spacing w:after="0" w:before="0"/>
            </w:pPr>
            <w:r>
              <w:rPr>
                <w:rFonts w:ascii="Arial" w:hAnsi="Arial"/>
                <w:b w:val="0"/>
                <w:sz w:val="17"/>
              </w:rPr>
              <w:t>None found</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[Finance lead]</w:t>
            </w:r>
          </w:p>
        </w:tc>
      </w:tr>
      <w:tr>
        <w:tc>
          <w:tcPr>
            <w:tcW w:type="dxa" w:w="2500"/>
            <w:shd w:val="clear" w:color="auto" w:fill="F2F2F2"/>
          </w:tcPr>
          <w:p>
            <w:pPr>
              <w:spacing w:after="0" w:before="0"/>
            </w:pPr>
            <w:r>
              <w:rPr>
                <w:rFonts w:ascii="Arial" w:hAnsi="Arial"/>
                <w:b w:val="0"/>
                <w:sz w:val="17"/>
              </w:rPr>
              <w:t>Extra theatre minute</w:t>
            </w:r>
          </w:p>
        </w:tc>
        <w:tc>
          <w:tcPr>
            <w:tcW w:type="dxa" w:w="1100"/>
            <w:shd w:val="clear" w:color="auto" w:fill="F2F2F2"/>
          </w:tcPr>
          <w:p>
            <w:pPr>
              <w:spacing w:after="0" w:before="0"/>
            </w:pPr>
            <w:r>
              <w:rPr>
                <w:rFonts w:ascii="Arial" w:hAnsi="Arial"/>
                <w:b w:val="0"/>
                <w:sz w:val="17"/>
              </w:rPr>
              <w:t>£12</w:t>
            </w:r>
          </w:p>
        </w:tc>
        <w:tc>
          <w:tcPr>
            <w:tcW w:type="dxa" w:w="2926"/>
            <w:shd w:val="clear" w:color="auto" w:fill="F2F2F2"/>
          </w:tcPr>
          <w:p>
            <w:pPr>
              <w:spacing w:after="0" w:before="0"/>
            </w:pPr>
            <w:r>
              <w:rPr>
                <w:rFonts w:ascii="Arial" w:hAnsi="Arial"/>
                <w:b w:val="0"/>
                <w:sz w:val="17"/>
              </w:rPr>
              <w:t>None found</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[Finance lead]</w:t>
            </w:r>
          </w:p>
        </w:tc>
      </w:tr>
      <w:tr>
        <w:tc>
          <w:tcPr>
            <w:tcW w:type="dxa" w:w="2500"/>
          </w:tcPr>
          <w:p>
            <w:pPr>
              <w:spacing w:after="0" w:before="0"/>
            </w:pPr>
            <w:r>
              <w:rPr>
                <w:rFonts w:ascii="Arial" w:hAnsi="Arial"/>
                <w:b w:val="0"/>
                <w:sz w:val="17"/>
              </w:rPr>
              <w:t>Sterile services per robotic case</w:t>
            </w:r>
          </w:p>
        </w:tc>
        <w:tc>
          <w:tcPr>
            <w:tcW w:type="dxa" w:w="1100"/>
          </w:tcPr>
          <w:p>
            <w:pPr>
              <w:spacing w:after="0" w:before="0"/>
            </w:pPr>
            <w:r>
              <w:rPr>
                <w:rFonts w:ascii="Arial" w:hAnsi="Arial"/>
                <w:b w:val="0"/>
                <w:sz w:val="17"/>
              </w:rPr>
              <w:t>£75</w:t>
            </w:r>
          </w:p>
        </w:tc>
        <w:tc>
          <w:tcPr>
            <w:tcW w:type="dxa" w:w="2926"/>
          </w:tcPr>
          <w:p>
            <w:pPr>
              <w:spacing w:after="0" w:before="0"/>
            </w:pPr>
            <w:r>
              <w:rPr>
                <w:rFonts w:ascii="Arial" w:hAnsi="Arial"/>
                <w:b w:val="0"/>
                <w:sz w:val="17"/>
              </w:rPr>
              <w:t>None found; sterilisation requirements are listed for consideration in system choice (GIRFT 2025)</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[Finance lead]</w:t>
            </w:r>
          </w:p>
        </w:tc>
      </w:tr>
      <w:tr>
        <w:tc>
          <w:tcPr>
            <w:tcW w:type="dxa" w:w="2500"/>
            <w:shd w:val="clear" w:color="auto" w:fill="F2F2F2"/>
          </w:tcPr>
          <w:p>
            <w:pPr>
              <w:spacing w:after="0" w:before="0"/>
            </w:pPr>
            <w:r>
              <w:rPr>
                <w:rFonts w:ascii="Arial" w:hAnsi="Arial"/>
                <w:b w:val="0"/>
                <w:sz w:val="17"/>
              </w:rPr>
              <w:t>Platform price basis</w:t>
            </w:r>
          </w:p>
        </w:tc>
        <w:tc>
          <w:tcPr>
            <w:tcW w:type="dxa" w:w="1100"/>
            <w:shd w:val="clear" w:color="auto" w:fill="F2F2F2"/>
          </w:tcPr>
          <w:p>
            <w:pPr>
              <w:spacing w:after="0" w:before="0"/>
            </w:pPr>
            <w:r>
              <w:rPr>
                <w:rFonts w:ascii="Arial" w:hAnsi="Arial"/>
                <w:b w:val="0"/>
                <w:sz w:val="17"/>
              </w:rPr>
              <w:t>Platform B: established multi-port (purchase)</w:t>
            </w:r>
          </w:p>
        </w:tc>
        <w:tc>
          <w:tcPr>
            <w:tcW w:type="dxa" w:w="2926"/>
            <w:shd w:val="clear" w:color="auto" w:fill="F2F2F2"/>
          </w:tcPr>
          <w:p>
            <w:pPr>
              <w:spacing w:after="0" w:before="0"/>
            </w:pPr>
            <w:r>
              <w:rPr>
                <w:rFonts w:ascii="Arial" w:hAnsi="Arial"/>
                <w:b w:val="0"/>
                <w:sz w:val="17"/>
              </w:rPr>
              <w:t>Capital from a published NHS trust business case (May 2026; reference to be re-confirmed). Of the same order as an earlier NHS full business case (about £2 million capital and £150,000 maintenance a year). Instruments: US single-centre average about $1,500 per case</w:t>
            </w:r>
          </w:p>
        </w:tc>
        <w:tc>
          <w:tcPr>
            <w:tcW w:type="dxa" w:w="1100"/>
            <w:shd w:val="clear" w:color="auto" w:fill="F2F2F2"/>
          </w:tcPr>
          <w:p>
            <w:pPr>
              <w:spacing w:after="0" w:before="0"/>
            </w:pPr>
            <w:r>
              <w:rPr>
                <w:rFonts w:ascii="Arial" w:hAnsi="Arial"/>
                <w:b w:val="0"/>
                <w:sz w:val="17"/>
              </w:rPr>
              <w:t>Partly sourced</w:t>
            </w:r>
          </w:p>
        </w:tc>
        <w:tc>
          <w:tcPr>
            <w:tcW w:type="dxa" w:w="1400"/>
            <w:shd w:val="clear" w:color="auto" w:fill="F2F2F2"/>
          </w:tcPr>
          <w:p>
            <w:pPr>
              <w:spacing w:after="0" w:before="0"/>
            </w:pPr>
            <w:r>
              <w:rPr>
                <w:rFonts w:ascii="Arial" w:hAnsi="Arial"/>
                <w:b w:val="0"/>
                <w:sz w:val="17"/>
                <w:highlight w:val="yellow"/>
              </w:rPr>
              <w:t>[Procurement lead]</w:t>
            </w:r>
          </w:p>
        </w:tc>
      </w:tr>
      <w:tr>
        <w:tc>
          <w:tcPr>
            <w:tcW w:type="dxa" w:w="2500"/>
          </w:tcPr>
          <w:p>
            <w:pPr>
              <w:spacing w:after="0" w:before="0"/>
            </w:pPr>
            <w:r>
              <w:rPr>
                <w:rFonts w:ascii="Arial" w:hAnsi="Arial"/>
                <w:b w:val="0"/>
                <w:sz w:val="17"/>
              </w:rPr>
              <w:t>Instrument price per case</w:t>
            </w:r>
          </w:p>
        </w:tc>
        <w:tc>
          <w:tcPr>
            <w:tcW w:type="dxa" w:w="1100"/>
          </w:tcPr>
          <w:p>
            <w:pPr>
              <w:spacing w:after="0" w:before="0"/>
            </w:pPr>
            <w:r>
              <w:rPr>
                <w:rFonts w:ascii="Arial" w:hAnsi="Arial"/>
                <w:b w:val="0"/>
                <w:sz w:val="17"/>
              </w:rPr>
              <w:t>£1,275</w:t>
            </w:r>
          </w:p>
        </w:tc>
        <w:tc>
          <w:tcPr>
            <w:tcW w:type="dxa" w:w="2926"/>
          </w:tcPr>
          <w:p>
            <w:pPr>
              <w:spacing w:after="0" w:before="0"/>
            </w:pPr>
            <w:r>
              <w:rPr>
                <w:rFonts w:ascii="Arial" w:hAnsi="Arial"/>
                <w:b w:val="0"/>
                <w:sz w:val="17"/>
              </w:rPr>
              <w:t>US single-centre average about $1,500 per case; single-port extra $1,170 to $1,820 (AUA 2022 abstract MP32-10)</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[Procurement lead]</w:t>
            </w:r>
          </w:p>
        </w:tc>
      </w:tr>
      <w:tr>
        <w:tc>
          <w:tcPr>
            <w:tcW w:type="dxa" w:w="2500"/>
            <w:shd w:val="clear" w:color="auto" w:fill="F2F2F2"/>
          </w:tcPr>
          <w:p>
            <w:pPr>
              <w:spacing w:after="0" w:before="0"/>
            </w:pPr>
            <w:r>
              <w:rPr>
                <w:rFonts w:ascii="Arial" w:hAnsi="Arial"/>
                <w:b w:val="0"/>
                <w:sz w:val="17"/>
              </w:rPr>
              <w:t>Instrument discounts (15% standard, 30% volume)</w:t>
            </w:r>
          </w:p>
        </w:tc>
        <w:tc>
          <w:tcPr>
            <w:tcW w:type="dxa" w:w="1100"/>
            <w:shd w:val="clear" w:color="auto" w:fill="F2F2F2"/>
          </w:tcPr>
          <w:p>
            <w:pPr>
              <w:spacing w:after="0" w:before="0"/>
            </w:pPr>
            <w:r>
              <w:rPr>
                <w:rFonts w:ascii="Arial" w:hAnsi="Arial"/>
                <w:b w:val="0"/>
                <w:sz w:val="17"/>
              </w:rPr>
              <w:t>15% and 30%</w:t>
            </w:r>
          </w:p>
        </w:tc>
        <w:tc>
          <w:tcPr>
            <w:tcW w:type="dxa" w:w="2926"/>
            <w:shd w:val="clear" w:color="auto" w:fill="F2F2F2"/>
          </w:tcPr>
          <w:p>
            <w:pPr>
              <w:spacing w:after="0" w:before="0"/>
            </w:pPr>
            <w:r>
              <w:rPr>
                <w:rFonts w:ascii="Arial" w:hAnsi="Arial"/>
                <w:b w:val="0"/>
                <w:sz w:val="17"/>
              </w:rPr>
              <w:t>None found</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[Procurement lead]</w:t>
            </w:r>
          </w:p>
        </w:tc>
      </w:tr>
      <w:tr>
        <w:tc>
          <w:tcPr>
            <w:tcW w:type="dxa" w:w="2500"/>
          </w:tcPr>
          <w:p>
            <w:pPr>
              <w:spacing w:after="0" w:before="0"/>
            </w:pPr>
            <w:r>
              <w:rPr>
                <w:rFonts w:ascii="Arial" w:hAnsi="Arial"/>
                <w:b w:val="0"/>
                <w:sz w:val="17"/>
              </w:rPr>
              <w:t>Sessions per robot per week; operating weeks</w:t>
            </w:r>
          </w:p>
        </w:tc>
        <w:tc>
          <w:tcPr>
            <w:tcW w:type="dxa" w:w="1100"/>
          </w:tcPr>
          <w:p>
            <w:pPr>
              <w:spacing w:after="0" w:before="0"/>
            </w:pPr>
            <w:r>
              <w:rPr>
                <w:rFonts w:ascii="Arial" w:hAnsi="Arial"/>
                <w:b w:val="0"/>
                <w:sz w:val="17"/>
              </w:rPr>
              <w:t>9; 45</w:t>
            </w:r>
          </w:p>
        </w:tc>
        <w:tc>
          <w:tcPr>
            <w:tcW w:type="dxa" w:w="2926"/>
          </w:tcPr>
          <w:p>
            <w:pPr>
              <w:spacing w:after="0" w:before="0"/>
            </w:pPr>
            <w:r>
              <w:rPr>
                <w:rFonts w:ascii="Arial" w:hAnsi="Arial"/>
                <w:b w:val="0"/>
                <w:sz w:val="17"/>
              </w:rPr>
              <w:t>Programmes should be fully used on all working days (GIRFT 2025)</w:t>
            </w:r>
          </w:p>
        </w:tc>
        <w:tc>
          <w:tcPr>
            <w:tcW w:type="dxa" w:w="1100"/>
          </w:tcPr>
          <w:p>
            <w:pPr>
              <w:spacing w:after="0" w:before="0"/>
            </w:pPr>
            <w:r>
              <w:rPr>
                <w:rFonts w:ascii="Arial" w:hAnsi="Arial"/>
                <w:b w:val="0"/>
                <w:sz w:val="17"/>
              </w:rPr>
              <w:t>Assumption</w:t>
            </w:r>
          </w:p>
        </w:tc>
        <w:tc>
          <w:tcPr>
            <w:tcW w:type="dxa" w:w="1400"/>
          </w:tcPr>
          <w:p>
            <w:pPr>
              <w:spacing w:after="0" w:before="0"/>
            </w:pPr>
            <w:r>
              <w:rPr>
                <w:rFonts w:ascii="Arial" w:hAnsi="Arial"/>
                <w:b w:val="0"/>
                <w:sz w:val="17"/>
                <w:highlight w:val="yellow"/>
              </w:rPr>
              <w:t>[Senior responsible owner]</w:t>
            </w:r>
          </w:p>
        </w:tc>
      </w:tr>
      <w:tr>
        <w:tc>
          <w:tcPr>
            <w:tcW w:type="dxa" w:w="2500"/>
            <w:shd w:val="clear" w:color="auto" w:fill="F2F2F2"/>
          </w:tcPr>
          <w:p>
            <w:pPr>
              <w:spacing w:after="0" w:before="0"/>
            </w:pPr>
            <w:r>
              <w:rPr>
                <w:rFonts w:ascii="Arial" w:hAnsi="Arial"/>
                <w:b w:val="0"/>
                <w:sz w:val="17"/>
              </w:rPr>
              <w:t>Utilisation ramp (years 1 to 5)</w:t>
            </w:r>
          </w:p>
        </w:tc>
        <w:tc>
          <w:tcPr>
            <w:tcW w:type="dxa" w:w="1100"/>
            <w:shd w:val="clear" w:color="auto" w:fill="F2F2F2"/>
          </w:tcPr>
          <w:p>
            <w:pPr>
              <w:spacing w:after="0" w:before="0"/>
            </w:pPr>
            <w:r>
              <w:rPr>
                <w:rFonts w:ascii="Arial" w:hAnsi="Arial"/>
                <w:b w:val="0"/>
                <w:sz w:val="17"/>
              </w:rPr>
              <w:t>70%, 90%, 100%, 100%, 100%</w:t>
            </w:r>
          </w:p>
        </w:tc>
        <w:tc>
          <w:tcPr>
            <w:tcW w:type="dxa" w:w="2926"/>
            <w:shd w:val="clear" w:color="auto" w:fill="F2F2F2"/>
          </w:tcPr>
          <w:p>
            <w:pPr>
              <w:spacing w:after="0" w:before="0"/>
            </w:pPr>
            <w:r>
              <w:rPr>
                <w:rFonts w:ascii="Arial" w:hAnsi="Arial"/>
                <w:b w:val="0"/>
                <w:sz w:val="17"/>
              </w:rPr>
              <w:t>None found</w:t>
            </w:r>
          </w:p>
        </w:tc>
        <w:tc>
          <w:tcPr>
            <w:tcW w:type="dxa" w:w="1100"/>
            <w:shd w:val="clear" w:color="auto" w:fill="F2F2F2"/>
          </w:tcPr>
          <w:p>
            <w:pPr>
              <w:spacing w:after="0" w:before="0"/>
            </w:pPr>
            <w:r>
              <w:rPr>
                <w:rFonts w:ascii="Arial" w:hAnsi="Arial"/>
                <w:b w:val="0"/>
                <w:sz w:val="17"/>
              </w:rPr>
              <w:t>Assumption</w:t>
            </w:r>
          </w:p>
        </w:tc>
        <w:tc>
          <w:tcPr>
            <w:tcW w:type="dxa" w:w="1400"/>
            <w:shd w:val="clear" w:color="auto" w:fill="F2F2F2"/>
          </w:tcPr>
          <w:p>
            <w:pPr>
              <w:spacing w:after="0" w:before="0"/>
            </w:pPr>
            <w:r>
              <w:rPr>
                <w:rFonts w:ascii="Arial" w:hAnsi="Arial"/>
                <w:b w:val="0"/>
                <w:sz w:val="17"/>
                <w:highlight w:val="yellow"/>
              </w:rPr>
              <w:t>[Senior responsible owner]</w:t>
            </w:r>
          </w:p>
        </w:tc>
      </w:tr>
      <w:tr>
        <w:tc>
          <w:tcPr>
            <w:tcW w:type="dxa" w:w="2500"/>
          </w:tcPr>
          <w:p>
            <w:pPr>
              <w:spacing w:after="0" w:before="0"/>
            </w:pPr>
            <w:r>
              <w:rPr>
                <w:rFonts w:ascii="Arial" w:hAnsi="Arial"/>
                <w:b w:val="0"/>
                <w:sz w:val="17"/>
              </w:rPr>
              <w:t>Learning curve on benefits (years 1 to 5)</w:t>
            </w:r>
          </w:p>
        </w:tc>
        <w:tc>
          <w:tcPr>
            <w:tcW w:type="dxa" w:w="1100"/>
          </w:tcPr>
          <w:p>
            <w:pPr>
              <w:spacing w:after="0" w:before="0"/>
            </w:pPr>
            <w:r>
              <w:rPr>
                <w:rFonts w:ascii="Arial" w:hAnsi="Arial"/>
                <w:b w:val="0"/>
                <w:sz w:val="17"/>
              </w:rPr>
              <w:t>75%, 90%, 100%, 100%, 100%</w:t>
            </w:r>
          </w:p>
        </w:tc>
        <w:tc>
          <w:tcPr>
            <w:tcW w:type="dxa" w:w="2926"/>
          </w:tcPr>
          <w:p>
            <w:pPr>
              <w:spacing w:after="0" w:before="0"/>
            </w:pPr>
            <w:r>
              <w:rPr>
                <w:rFonts w:ascii="Arial" w:hAnsi="Arial"/>
                <w:b w:val="0"/>
                <w:sz w:val="17"/>
              </w:rPr>
              <w:t>None found</w:t>
            </w:r>
          </w:p>
        </w:tc>
        <w:tc>
          <w:tcPr>
            <w:tcW w:type="dxa" w:w="1100"/>
          </w:tcPr>
          <w:p>
            <w:pPr>
              <w:spacing w:after="0" w:before="0"/>
            </w:pPr>
            <w:r>
              <w:rPr>
                <w:rFonts w:ascii="Arial" w:hAnsi="Arial"/>
                <w:b w:val="0"/>
                <w:sz w:val="17"/>
              </w:rPr>
              <w:t>Assumption</w:t>
            </w:r>
          </w:p>
        </w:tc>
        <w:tc>
          <w:tcPr>
            <w:tcW w:type="dxa" w:w="1400"/>
          </w:tcPr>
          <w:p>
            <w:pPr>
              <w:spacing w:after="0" w:before="0"/>
            </w:pPr>
            <w:r>
              <w:rPr>
                <w:rFonts w:ascii="Arial" w:hAnsi="Arial"/>
                <w:b w:val="0"/>
                <w:sz w:val="17"/>
                <w:highlight w:val="yellow"/>
              </w:rPr>
              <w:t>[Senior responsible owner]</w:t>
            </w:r>
          </w:p>
        </w:tc>
      </w:tr>
      <w:tr>
        <w:tc>
          <w:tcPr>
            <w:tcW w:type="dxa" w:w="2500"/>
            <w:shd w:val="clear" w:color="auto" w:fill="F2F2F2"/>
          </w:tcPr>
          <w:p>
            <w:pPr>
              <w:spacing w:after="0" w:before="0"/>
            </w:pPr>
            <w:r>
              <w:rPr>
                <w:rFonts w:ascii="Arial" w:hAnsi="Arial"/>
                <w:b w:val="0"/>
                <w:sz w:val="17"/>
              </w:rPr>
              <w:t>Implementation, training and proctoring per robot</w:t>
            </w:r>
          </w:p>
        </w:tc>
        <w:tc>
          <w:tcPr>
            <w:tcW w:type="dxa" w:w="1100"/>
            <w:shd w:val="clear" w:color="auto" w:fill="F2F2F2"/>
          </w:tcPr>
          <w:p>
            <w:pPr>
              <w:spacing w:after="0" w:before="0"/>
            </w:pPr>
            <w:r>
              <w:rPr>
                <w:rFonts w:ascii="Arial" w:hAnsi="Arial"/>
                <w:b w:val="0"/>
                <w:sz w:val="17"/>
              </w:rPr>
              <w:t>£75,000</w:t>
            </w:r>
          </w:p>
        </w:tc>
        <w:tc>
          <w:tcPr>
            <w:tcW w:type="dxa" w:w="2926"/>
            <w:shd w:val="clear" w:color="auto" w:fill="F2F2F2"/>
          </w:tcPr>
          <w:p>
            <w:pPr>
              <w:spacing w:after="0" w:before="0"/>
            </w:pPr>
            <w:r>
              <w:rPr>
                <w:rFonts w:ascii="Arial" w:hAnsi="Arial"/>
                <w:b w:val="0"/>
                <w:sz w:val="17"/>
              </w:rPr>
              <w:t>None found; GIRFT 2025 asks the business case to consider proctoring arrangements, including funding</w:t>
            </w:r>
          </w:p>
        </w:tc>
        <w:tc>
          <w:tcPr>
            <w:tcW w:type="dxa" w:w="1100"/>
            <w:shd w:val="clear" w:color="auto" w:fill="F2F2F2"/>
          </w:tcPr>
          <w:p>
            <w:pPr>
              <w:spacing w:after="0" w:before="0"/>
            </w:pPr>
            <w:r>
              <w:rPr>
                <w:rFonts w:ascii="Arial" w:hAnsi="Arial"/>
                <w:b w:val="0"/>
                <w:sz w:val="17"/>
              </w:rPr>
              <w:t>Placeholder</w:t>
            </w:r>
          </w:p>
        </w:tc>
        <w:tc>
          <w:tcPr>
            <w:tcW w:type="dxa" w:w="1400"/>
            <w:shd w:val="clear" w:color="auto" w:fill="F2F2F2"/>
          </w:tcPr>
          <w:p>
            <w:pPr>
              <w:spacing w:after="0" w:before="0"/>
            </w:pPr>
            <w:r>
              <w:rPr>
                <w:rFonts w:ascii="Arial" w:hAnsi="Arial"/>
                <w:b w:val="0"/>
                <w:sz w:val="17"/>
                <w:highlight w:val="yellow"/>
              </w:rPr>
              <w:t>[Senior responsible owner]</w:t>
            </w:r>
          </w:p>
        </w:tc>
      </w:tr>
      <w:tr>
        <w:tc>
          <w:tcPr>
            <w:tcW w:type="dxa" w:w="2500"/>
          </w:tcPr>
          <w:p>
            <w:pPr>
              <w:spacing w:after="0" w:before="0"/>
            </w:pPr>
            <w:r>
              <w:rPr>
                <w:rFonts w:ascii="Arial" w:hAnsi="Arial"/>
                <w:b w:val="0"/>
                <w:sz w:val="17"/>
              </w:rPr>
              <w:t>Theatre works per robot (one-off)</w:t>
            </w:r>
          </w:p>
        </w:tc>
        <w:tc>
          <w:tcPr>
            <w:tcW w:type="dxa" w:w="1100"/>
          </w:tcPr>
          <w:p>
            <w:pPr>
              <w:spacing w:after="0" w:before="0"/>
            </w:pPr>
            <w:r>
              <w:rPr>
                <w:rFonts w:ascii="Arial" w:hAnsi="Arial"/>
                <w:b w:val="0"/>
                <w:sz w:val="17"/>
              </w:rPr>
              <w:t>£50,000</w:t>
            </w:r>
          </w:p>
        </w:tc>
        <w:tc>
          <w:tcPr>
            <w:tcW w:type="dxa" w:w="2926"/>
          </w:tcPr>
          <w:p>
            <w:pPr>
              <w:spacing w:after="0" w:before="0"/>
            </w:pPr>
            <w:r>
              <w:rPr>
                <w:rFonts w:ascii="Arial" w:hAnsi="Arial"/>
                <w:b w:val="0"/>
                <w:sz w:val="17"/>
              </w:rPr>
              <w:t>None found</w:t>
            </w:r>
          </w:p>
        </w:tc>
        <w:tc>
          <w:tcPr>
            <w:tcW w:type="dxa" w:w="1100"/>
          </w:tcPr>
          <w:p>
            <w:pPr>
              <w:spacing w:after="0" w:before="0"/>
            </w:pPr>
            <w:r>
              <w:rPr>
                <w:rFonts w:ascii="Arial" w:hAnsi="Arial"/>
                <w:b w:val="0"/>
                <w:sz w:val="17"/>
              </w:rPr>
              <w:t>Placeholder</w:t>
            </w:r>
          </w:p>
        </w:tc>
        <w:tc>
          <w:tcPr>
            <w:tcW w:type="dxa" w:w="1400"/>
          </w:tcPr>
          <w:p>
            <w:pPr>
              <w:spacing w:after="0" w:before="0"/>
            </w:pPr>
            <w:r>
              <w:rPr>
                <w:rFonts w:ascii="Arial" w:hAnsi="Arial"/>
                <w:b w:val="0"/>
                <w:sz w:val="17"/>
                <w:highlight w:val="yellow"/>
              </w:rPr>
              <w:t>[Estates lead]</w:t>
            </w:r>
          </w:p>
        </w:tc>
      </w:tr>
      <w:tr>
        <w:tc>
          <w:tcPr>
            <w:tcW w:type="dxa" w:w="2500"/>
            <w:shd w:val="clear" w:color="auto" w:fill="F2F2F2"/>
          </w:tcPr>
          <w:p>
            <w:pPr>
              <w:spacing w:after="0" w:before="0"/>
            </w:pPr>
            <w:r>
              <w:rPr>
                <w:rFonts w:ascii="Arial" w:hAnsi="Arial"/>
                <w:b w:val="0"/>
                <w:sz w:val="17"/>
              </w:rPr>
              <w:t>Surgical first assistant or care practitioner</w:t>
            </w:r>
          </w:p>
        </w:tc>
        <w:tc>
          <w:tcPr>
            <w:tcW w:type="dxa" w:w="1100"/>
            <w:shd w:val="clear" w:color="auto" w:fill="F2F2F2"/>
          </w:tcPr>
          <w:p>
            <w:pPr>
              <w:spacing w:after="0" w:before="0"/>
            </w:pPr>
            <w:r>
              <w:rPr>
                <w:rFonts w:ascii="Arial" w:hAnsi="Arial"/>
                <w:b w:val="0"/>
                <w:sz w:val="17"/>
              </w:rPr>
              <w:t>1 WTE per robot at £60,000</w:t>
            </w:r>
          </w:p>
        </w:tc>
        <w:tc>
          <w:tcPr>
            <w:tcW w:type="dxa" w:w="2926"/>
            <w:shd w:val="clear" w:color="auto" w:fill="F2F2F2"/>
          </w:tcPr>
          <w:p>
            <w:pPr>
              <w:spacing w:after="0" w:before="0"/>
            </w:pPr>
            <w:r>
              <w:rPr>
                <w:rFonts w:ascii="Arial" w:hAnsi="Arial"/>
                <w:b w:val="0"/>
                <w:sz w:val="17"/>
              </w:rPr>
              <w:t>NHS England and GIRFT, Implementation of robotic-assisted surgery in England, July 2025 (provision should be built into the business case); cost is a placeholder</w:t>
            </w:r>
          </w:p>
        </w:tc>
        <w:tc>
          <w:tcPr>
            <w:tcW w:type="dxa" w:w="1100"/>
            <w:shd w:val="clear" w:color="auto" w:fill="F2F2F2"/>
          </w:tcPr>
          <w:p>
            <w:pPr>
              <w:spacing w:after="0" w:before="0"/>
            </w:pPr>
            <w:r>
              <w:rPr>
                <w:rFonts w:ascii="Arial" w:hAnsi="Arial"/>
                <w:b w:val="0"/>
                <w:sz w:val="17"/>
              </w:rPr>
              <w:t>Partly sourced</w:t>
            </w:r>
          </w:p>
        </w:tc>
        <w:tc>
          <w:tcPr>
            <w:tcW w:type="dxa" w:w="1400"/>
            <w:shd w:val="clear" w:color="auto" w:fill="F2F2F2"/>
          </w:tcPr>
          <w:p>
            <w:pPr>
              <w:spacing w:after="0" w:before="0"/>
            </w:pPr>
            <w:r>
              <w:rPr>
                <w:rFonts w:ascii="Arial" w:hAnsi="Arial"/>
                <w:b w:val="0"/>
                <w:sz w:val="17"/>
                <w:highlight w:val="yellow"/>
              </w:rPr>
              <w:t>[Theatres lead]</w:t>
            </w:r>
          </w:p>
        </w:tc>
      </w:tr>
      <w:tr>
        <w:tc>
          <w:tcPr>
            <w:tcW w:type="dxa" w:w="2500"/>
          </w:tcPr>
          <w:p>
            <w:pPr>
              <w:spacing w:after="0" w:before="0"/>
            </w:pPr>
            <w:r>
              <w:rPr>
                <w:rFonts w:ascii="Arial" w:hAnsi="Arial"/>
                <w:b w:val="0"/>
                <w:sz w:val="17"/>
              </w:rPr>
              <w:t>Robotic cases per robot per year: advisory level</w:t>
            </w:r>
          </w:p>
        </w:tc>
        <w:tc>
          <w:tcPr>
            <w:tcW w:type="dxa" w:w="1100"/>
          </w:tcPr>
          <w:p>
            <w:pPr>
              <w:spacing w:after="0" w:before="0"/>
            </w:pPr>
            <w:r>
              <w:rPr>
                <w:rFonts w:ascii="Arial" w:hAnsi="Arial"/>
                <w:b w:val="0"/>
                <w:sz w:val="17"/>
              </w:rPr>
              <w:t>700</w:t>
            </w:r>
          </w:p>
        </w:tc>
        <w:tc>
          <w:tcPr>
            <w:tcW w:type="dxa" w:w="2926"/>
          </w:tcPr>
          <w:p>
            <w:pPr>
              <w:spacing w:after="0" w:before="0"/>
            </w:pPr>
            <w:r>
              <w:rPr>
                <w:rFonts w:ascii="Arial" w:hAnsi="Arial"/>
                <w:b w:val="0"/>
                <w:sz w:val="17"/>
              </w:rPr>
              <w:t>Project team decision (amber guardrail above this level, not a cut)</w:t>
            </w:r>
          </w:p>
        </w:tc>
        <w:tc>
          <w:tcPr>
            <w:tcW w:type="dxa" w:w="1100"/>
          </w:tcPr>
          <w:p>
            <w:pPr>
              <w:spacing w:after="0" w:before="0"/>
            </w:pPr>
            <w:r>
              <w:rPr>
                <w:rFonts w:ascii="Arial" w:hAnsi="Arial"/>
                <w:b w:val="0"/>
                <w:sz w:val="17"/>
              </w:rPr>
              <w:t>Assumption</w:t>
            </w:r>
          </w:p>
        </w:tc>
        <w:tc>
          <w:tcPr>
            <w:tcW w:type="dxa" w:w="1400"/>
          </w:tcPr>
          <w:p>
            <w:pPr>
              <w:spacing w:after="0" w:before="0"/>
            </w:pPr>
            <w:r>
              <w:rPr>
                <w:rFonts w:ascii="Arial" w:hAnsi="Arial"/>
                <w:b w:val="0"/>
                <w:sz w:val="17"/>
                <w:highlight w:val="yellow"/>
              </w:rPr>
              <w:t>[Project team]</w:t>
            </w:r>
          </w:p>
        </w:tc>
      </w:tr>
      <w:tr>
        <w:tc>
          <w:tcPr>
            <w:tcW w:type="dxa" w:w="2500"/>
            <w:shd w:val="clear" w:color="auto" w:fill="F2F2F2"/>
          </w:tcPr>
          <w:p>
            <w:pPr>
              <w:spacing w:after="0" w:before="0"/>
            </w:pPr>
            <w:r>
              <w:rPr>
                <w:rFonts w:ascii="Arial" w:hAnsi="Arial"/>
                <w:b w:val="0"/>
                <w:sz w:val="17"/>
              </w:rPr>
              <w:t>Minimum list fill before a list is created</w:t>
            </w:r>
          </w:p>
        </w:tc>
        <w:tc>
          <w:tcPr>
            <w:tcW w:type="dxa" w:w="1100"/>
            <w:shd w:val="clear" w:color="auto" w:fill="F2F2F2"/>
          </w:tcPr>
          <w:p>
            <w:pPr>
              <w:spacing w:after="0" w:before="0"/>
            </w:pPr>
            <w:r>
              <w:rPr>
                <w:rFonts w:ascii="Arial" w:hAnsi="Arial"/>
                <w:b w:val="0"/>
                <w:sz w:val="17"/>
              </w:rPr>
              <w:t>75%</w:t>
            </w:r>
          </w:p>
        </w:tc>
        <w:tc>
          <w:tcPr>
            <w:tcW w:type="dxa" w:w="2926"/>
            <w:shd w:val="clear" w:color="auto" w:fill="F2F2F2"/>
          </w:tcPr>
          <w:p>
            <w:pPr>
              <w:spacing w:after="0" w:before="0"/>
            </w:pPr>
            <w:r>
              <w:rPr>
                <w:rFonts w:ascii="Arial" w:hAnsi="Arial"/>
                <w:b w:val="0"/>
                <w:sz w:val="17"/>
              </w:rPr>
              <w:t>Project team decision (matches the utilisation guardrail)</w:t>
            </w:r>
          </w:p>
        </w:tc>
        <w:tc>
          <w:tcPr>
            <w:tcW w:type="dxa" w:w="1100"/>
            <w:shd w:val="clear" w:color="auto" w:fill="F2F2F2"/>
          </w:tcPr>
          <w:p>
            <w:pPr>
              <w:spacing w:after="0" w:before="0"/>
            </w:pPr>
            <w:r>
              <w:rPr>
                <w:rFonts w:ascii="Arial" w:hAnsi="Arial"/>
                <w:b w:val="0"/>
                <w:sz w:val="17"/>
              </w:rPr>
              <w:t>Assumption</w:t>
            </w:r>
          </w:p>
        </w:tc>
        <w:tc>
          <w:tcPr>
            <w:tcW w:type="dxa" w:w="1400"/>
            <w:shd w:val="clear" w:color="auto" w:fill="F2F2F2"/>
          </w:tcPr>
          <w:p>
            <w:pPr>
              <w:spacing w:after="0" w:before="0"/>
            </w:pPr>
            <w:r>
              <w:rPr>
                <w:rFonts w:ascii="Arial" w:hAnsi="Arial"/>
                <w:b w:val="0"/>
                <w:sz w:val="17"/>
                <w:highlight w:val="yellow"/>
              </w:rPr>
              <w:t>[Project team]</w:t>
            </w:r>
          </w:p>
        </w:tc>
      </w:tr>
      <w:tr>
        <w:tc>
          <w:tcPr>
            <w:tcW w:type="dxa" w:w="2500"/>
          </w:tcPr>
          <w:p>
            <w:pPr>
              <w:spacing w:after="0" w:before="0"/>
            </w:pPr>
            <w:r>
              <w:rPr>
                <w:rFonts w:ascii="Arial" w:hAnsi="Arial"/>
                <w:b w:val="0"/>
                <w:sz w:val="17"/>
              </w:rPr>
              <w:t>Benchmark programme volume</w:t>
            </w:r>
          </w:p>
        </w:tc>
        <w:tc>
          <w:tcPr>
            <w:tcW w:type="dxa" w:w="1100"/>
          </w:tcPr>
          <w:p>
            <w:pPr>
              <w:spacing w:after="0" w:before="0"/>
            </w:pPr>
            <w:r>
              <w:rPr>
                <w:rFonts w:ascii="Arial" w:hAnsi="Arial"/>
                <w:b w:val="0"/>
                <w:sz w:val="17"/>
              </w:rPr>
              <w:t>550 cases per robot per year</w:t>
            </w:r>
          </w:p>
        </w:tc>
        <w:tc>
          <w:tcPr>
            <w:tcW w:type="dxa" w:w="2926"/>
          </w:tcPr>
          <w:p>
            <w:pPr>
              <w:spacing w:after="0" w:before="0"/>
            </w:pPr>
            <w:r>
              <w:rPr>
                <w:rFonts w:ascii="Arial" w:hAnsi="Arial"/>
                <w:b w:val="0"/>
                <w:sz w:val="17"/>
              </w:rPr>
              <w:t>Assumption set by the project team. No published per-robot benchmark was found. For context, UK NHS trusts reported 36,209 robotic procedures on 212 systems in 2024 (about 171 per system). That study grouped trusts by annual volume, with 500 to 750 procedures a year as its high-volume category (Donald et al, Surg Endosc 2026).</w:t>
            </w:r>
          </w:p>
        </w:tc>
        <w:tc>
          <w:tcPr>
            <w:tcW w:type="dxa" w:w="1100"/>
          </w:tcPr>
          <w:p>
            <w:pPr>
              <w:spacing w:after="0" w:before="0"/>
            </w:pPr>
            <w:r>
              <w:rPr>
                <w:rFonts w:ascii="Arial" w:hAnsi="Arial"/>
                <w:b w:val="0"/>
                <w:sz w:val="17"/>
              </w:rPr>
              <w:t>Assumption</w:t>
            </w:r>
          </w:p>
        </w:tc>
        <w:tc>
          <w:tcPr>
            <w:tcW w:type="dxa" w:w="1400"/>
          </w:tcPr>
          <w:p>
            <w:pPr>
              <w:spacing w:after="0" w:before="0"/>
            </w:pPr>
            <w:r>
              <w:rPr>
                <w:rFonts w:ascii="Arial" w:hAnsi="Arial"/>
                <w:b w:val="0"/>
                <w:sz w:val="17"/>
                <w:highlight w:val="yellow"/>
              </w:rPr>
              <w:t>[Project team]</w:t>
            </w:r>
          </w:p>
        </w:tc>
      </w:tr>
      <w:tr>
        <w:tc>
          <w:tcPr>
            <w:tcW w:type="dxa" w:w="2500"/>
            <w:shd w:val="clear" w:color="auto" w:fill="F2F2F2"/>
          </w:tcPr>
          <w:p>
            <w:pPr>
              <w:spacing w:after="0" w:before="0"/>
            </w:pPr>
            <w:r>
              <w:rPr>
                <w:rFonts w:ascii="Arial" w:hAnsi="Arial"/>
                <w:b w:val="0"/>
                <w:sz w:val="17"/>
              </w:rPr>
              <w:t>Discount rate (economic case)</w:t>
            </w:r>
          </w:p>
        </w:tc>
        <w:tc>
          <w:tcPr>
            <w:tcW w:type="dxa" w:w="1100"/>
            <w:shd w:val="clear" w:color="auto" w:fill="F2F2F2"/>
          </w:tcPr>
          <w:p>
            <w:pPr>
              <w:spacing w:after="0" w:before="0"/>
            </w:pPr>
            <w:r>
              <w:rPr>
                <w:rFonts w:ascii="Arial" w:hAnsi="Arial"/>
                <w:b w:val="0"/>
                <w:sz w:val="17"/>
              </w:rPr>
              <w:t>3.5%</w:t>
            </w:r>
          </w:p>
        </w:tc>
        <w:tc>
          <w:tcPr>
            <w:tcW w:type="dxa" w:w="2926"/>
            <w:shd w:val="clear" w:color="auto" w:fill="F2F2F2"/>
          </w:tcPr>
          <w:p>
            <w:pPr>
              <w:spacing w:after="0" w:before="0"/>
            </w:pPr>
            <w:r>
              <w:rPr>
                <w:rFonts w:ascii="Arial" w:hAnsi="Arial"/>
                <w:b w:val="0"/>
                <w:sz w:val="17"/>
              </w:rPr>
              <w:t>HM Treasury Green Book (3.5% discount rate)</w:t>
            </w:r>
          </w:p>
        </w:tc>
        <w:tc>
          <w:tcPr>
            <w:tcW w:type="dxa" w:w="1100"/>
            <w:shd w:val="clear" w:color="auto" w:fill="F2F2F2"/>
          </w:tcPr>
          <w:p>
            <w:pPr>
              <w:spacing w:after="0" w:before="0"/>
            </w:pPr>
            <w:r>
              <w:rPr>
                <w:rFonts w:ascii="Arial" w:hAnsi="Arial"/>
                <w:b w:val="0"/>
                <w:sz w:val="17"/>
              </w:rPr>
              <w:t>Sourced</w:t>
            </w:r>
          </w:p>
        </w:tc>
        <w:tc>
          <w:tcPr>
            <w:tcW w:type="dxa" w:w="1400"/>
            <w:shd w:val="clear" w:color="auto" w:fill="F2F2F2"/>
          </w:tcPr>
          <w:p>
            <w:pPr>
              <w:spacing w:after="0" w:before="0"/>
            </w:pPr>
            <w:r>
              <w:rPr>
                <w:rFonts w:ascii="Arial" w:hAnsi="Arial"/>
                <w:b w:val="0"/>
                <w:sz w:val="17"/>
                <w:highlight w:val="yellow"/>
              </w:rPr>
              <w:t>[Finance lead]</w:t>
            </w:r>
          </w:p>
        </w:tc>
      </w:tr>
      <w:tr>
        <w:tc>
          <w:tcPr>
            <w:tcW w:type="dxa" w:w="2500"/>
          </w:tcPr>
          <w:p>
            <w:pPr>
              <w:spacing w:after="0" w:before="0"/>
            </w:pPr>
            <w:r>
              <w:rPr>
                <w:rFonts w:ascii="Arial" w:hAnsi="Arial"/>
                <w:b w:val="0"/>
                <w:sz w:val="17"/>
              </w:rPr>
              <w:t>Public dividend capital</w:t>
            </w:r>
          </w:p>
        </w:tc>
        <w:tc>
          <w:tcPr>
            <w:tcW w:type="dxa" w:w="1100"/>
          </w:tcPr>
          <w:p>
            <w:pPr>
              <w:spacing w:after="0" w:before="0"/>
            </w:pPr>
            <w:r>
              <w:rPr>
                <w:rFonts w:ascii="Arial" w:hAnsi="Arial"/>
                <w:b w:val="0"/>
                <w:sz w:val="17"/>
              </w:rPr>
              <w:t>3.5%</w:t>
            </w:r>
          </w:p>
        </w:tc>
        <w:tc>
          <w:tcPr>
            <w:tcW w:type="dxa" w:w="2926"/>
          </w:tcPr>
          <w:p>
            <w:pPr>
              <w:spacing w:after="0" w:before="0"/>
            </w:pPr>
            <w:r>
              <w:rPr>
                <w:rFonts w:ascii="Arial" w:hAnsi="Arial"/>
                <w:b w:val="0"/>
                <w:sz w:val="17"/>
              </w:rPr>
              <w:t>DHSC policy rate</w:t>
            </w:r>
          </w:p>
        </w:tc>
        <w:tc>
          <w:tcPr>
            <w:tcW w:type="dxa" w:w="1100"/>
          </w:tcPr>
          <w:p>
            <w:pPr>
              <w:spacing w:after="0" w:before="0"/>
            </w:pPr>
            <w:r>
              <w:rPr>
                <w:rFonts w:ascii="Arial" w:hAnsi="Arial"/>
                <w:b w:val="0"/>
                <w:sz w:val="17"/>
              </w:rPr>
              <w:t>Sourced</w:t>
            </w:r>
          </w:p>
        </w:tc>
        <w:tc>
          <w:tcPr>
            <w:tcW w:type="dxa" w:w="1400"/>
          </w:tcPr>
          <w:p>
            <w:pPr>
              <w:spacing w:after="0" w:before="0"/>
            </w:pPr>
            <w:r>
              <w:rPr>
                <w:rFonts w:ascii="Arial" w:hAnsi="Arial"/>
                <w:b w:val="0"/>
                <w:sz w:val="17"/>
                <w:highlight w:val="yellow"/>
              </w:rPr>
              <w:t>[Finance lead]</w:t>
            </w:r>
          </w:p>
        </w:tc>
      </w:tr>
    </w:tbl>
    <w:p/>
    <w:p>
      <w:pPr>
        <w:pStyle w:val="Heading1"/>
      </w:pPr>
      <w:r>
        <w:t>Appendix E. References</w:t>
      </w:r>
    </w:p>
    <w:p>
      <w:pPr>
        <w:pStyle w:val="ListNumber"/>
      </w:pPr>
      <w:r>
        <w:rPr>
          <w:rFonts w:ascii="Arial" w:hAnsi="Arial"/>
          <w:b w:val="0"/>
          <w:sz w:val="20"/>
        </w:rPr>
        <w:t>National Institute for Health and Care Excellence. Robot-assisted surgery for soft tissue procedures: early value assessment. HealthTech guidance 742 (HTE21). London: NICE, April 2025.</w:t>
      </w:r>
    </w:p>
    <w:p>
      <w:pPr>
        <w:pStyle w:val="ListNumber"/>
      </w:pPr>
      <w:r>
        <w:rPr>
          <w:rFonts w:ascii="Arial" w:hAnsi="Arial"/>
          <w:b w:val="0"/>
          <w:sz w:val="20"/>
        </w:rPr>
        <w:t>NHS England, Getting It Right First Time. Implementation of robotic-assisted surgery (RAS) in England. London: NHS England, July 2025.</w:t>
      </w:r>
    </w:p>
    <w:p>
      <w:pPr>
        <w:pStyle w:val="ListNumber"/>
      </w:pPr>
      <w:r>
        <w:rPr>
          <w:rFonts w:ascii="Arial" w:hAnsi="Arial"/>
          <w:b w:val="0"/>
          <w:sz w:val="20"/>
        </w:rPr>
        <w:t>Donald N, Sebastian J, Preziosi G. National adoption of robotic-assisted surgery in the United Kingdom: a decade of growth, distribution and speciality trends (2014-2024). Surg Endosc 2026; 40: 4358-67.</w:t>
      </w:r>
    </w:p>
    <w:p>
      <w:pPr>
        <w:pStyle w:val="ListNumber"/>
      </w:pPr>
      <w:r>
        <w:rPr>
          <w:rFonts w:ascii="Arial" w:hAnsi="Arial"/>
          <w:b w:val="0"/>
          <w:sz w:val="20"/>
        </w:rPr>
        <w:t>HM Treasury. The Green Book: central government guidance on appraisal and evaluation. London: HM Treasury, 2022.</w:t>
      </w:r>
    </w:p>
    <w:p>
      <w:pPr>
        <w:pStyle w:val="ListNumber"/>
      </w:pPr>
      <w:r>
        <w:rPr>
          <w:rFonts w:ascii="Arial" w:hAnsi="Arial"/>
          <w:b w:val="0"/>
          <w:sz w:val="20"/>
        </w:rPr>
        <w:t>HM Treasury. Guide to developing the project business case (Five Case Model). London: HM Treasury, 2018.</w:t>
      </w:r>
    </w:p>
    <w:p>
      <w:pPr>
        <w:pStyle w:val="ListNumber"/>
      </w:pPr>
      <w:r>
        <w:rPr>
          <w:rFonts w:ascii="Arial" w:hAnsi="Arial"/>
          <w:b w:val="0"/>
          <w:sz w:val="20"/>
        </w:rPr>
        <w:t>Does the pre-conversion platform matter? A comparison of laparoscopic and robotic converted to open colectomies. Surg Endosc 2024. doi:10.1007/s00464-024-11079-0.</w:t>
      </w:r>
    </w:p>
    <w:p>
      <w:pPr>
        <w:pStyle w:val="ListNumber"/>
      </w:pPr>
      <w:r>
        <w:rPr>
          <w:rFonts w:ascii="Arial" w:hAnsi="Arial"/>
          <w:b w:val="0"/>
          <w:sz w:val="20"/>
        </w:rPr>
        <w:t>Trastulli S, Cirocchi R, Desiderio J, et al. Robotic versus laparoscopic approach in colonic resections for cancer and benign diseases: systematic review and meta-analysis. PLoS One 2015; 10: e0134062.</w:t>
      </w:r>
    </w:p>
    <w:p>
      <w:pPr>
        <w:pStyle w:val="ListNumber"/>
      </w:pPr>
      <w:r>
        <w:rPr>
          <w:rFonts w:ascii="Arial" w:hAnsi="Arial"/>
          <w:b w:val="0"/>
          <w:sz w:val="20"/>
        </w:rPr>
        <w:t>National Bowel Cancer Audit. State of the Nation report 2025. London: Healthcare Quality Improvement Partnership, 2025.</w:t>
      </w:r>
    </w:p>
    <w:p>
      <w:pPr>
        <w:pStyle w:val="ListNumber"/>
      </w:pPr>
      <w:r>
        <w:rPr>
          <w:rFonts w:ascii="Arial" w:hAnsi="Arial"/>
          <w:b w:val="0"/>
          <w:sz w:val="20"/>
        </w:rPr>
        <w:t>Clark TJ, Saridogan E. Is there still need for a further randomised controlled trial on the route of hysterectomy for benign disease? Facts Views Vis Obgyn 2021; 13: 103-05.</w:t>
      </w:r>
    </w:p>
    <w:p>
      <w:pPr>
        <w:pStyle w:val="ListNumber"/>
      </w:pPr>
      <w:r>
        <w:rPr>
          <w:rFonts w:ascii="Arial" w:hAnsi="Arial"/>
          <w:b w:val="0"/>
          <w:sz w:val="20"/>
        </w:rPr>
        <w:t>Robotic surgery in emergency general surgery: an overview of UK practice. World J Emerg Surg 2025. doi:10.1186/s13017-025-00658-8.</w:t>
      </w:r>
    </w:p>
    <w:p>
      <w:pPr>
        <w:pStyle w:val="ListNumber"/>
      </w:pPr>
      <w:r>
        <w:rPr>
          <w:rFonts w:ascii="Arial" w:hAnsi="Arial"/>
          <w:b w:val="0"/>
          <w:sz w:val="20"/>
        </w:rPr>
        <w:t>UK Parliament. Hospital beds: costs. Written question UIN 100046, answered 22 December 2025.</w:t>
      </w:r>
    </w:p>
    <w:p>
      <w:pPr>
        <w:pStyle w:val="ListNumber"/>
      </w:pPr>
      <w:r>
        <w:rPr>
          <w:rFonts w:ascii="Arial" w:hAnsi="Arial"/>
          <w:b w:val="0"/>
          <w:sz w:val="20"/>
        </w:rPr>
        <w:t>Kishore, Khairnar MR, Burton E, Sidana A, Saini S. Single-port vs. multi-port robotic radical prostatectomy: an umbrella review of meta-analyses. J Robot Surg 2026; 20: 821.</w:t>
      </w:r>
    </w:p>
    <w:p>
      <w:pPr>
        <w:pStyle w:val="ListNumber"/>
      </w:pPr>
      <w:r>
        <w:rPr>
          <w:rFonts w:ascii="Arial" w:hAnsi="Arial"/>
          <w:b w:val="0"/>
          <w:sz w:val="20"/>
        </w:rPr>
        <w:t>Wallace BK, Dishong DM, Cohen AJ. Single-port robotic prostatectomy is associated with higher same-day discharge and reduced length of stay: a NSQIP analysis. World J Urol 2026 (published online Sept 10).</w:t>
      </w:r>
    </w:p>
    <w:p>
      <w:pPr>
        <w:pStyle w:val="ListNumber"/>
      </w:pPr>
      <w:r>
        <w:rPr>
          <w:rFonts w:ascii="Arial" w:hAnsi="Arial"/>
          <w:b w:val="0"/>
          <w:sz w:val="20"/>
        </w:rPr>
        <w:t>Abaza R, Murphy C, Bsatee A, Brown DH Jr, Martinez O. Single-port robotic surgery allows same-day discharge in majority of cases. Urology 2021; 148: 159-65.</w:t>
      </w:r>
    </w:p>
    <w:p>
      <w:pPr>
        <w:pStyle w:val="ListNumber"/>
      </w:pPr>
      <w:r>
        <w:rPr>
          <w:rFonts w:ascii="Arial" w:hAnsi="Arial"/>
          <w:b w:val="0"/>
          <w:sz w:val="20"/>
        </w:rPr>
        <w:t>Single port robotic urologic surgery: fewer ports, higher costs. American Urological Association Annual Meeting 2022 (abstract MP32-10).</w:t>
      </w:r>
    </w:p>
    <w:p>
      <w:pPr>
        <w:pStyle w:val="ListNumber"/>
      </w:pPr>
      <w:r>
        <w:rPr>
          <w:rFonts w:ascii="Arial" w:hAnsi="Arial"/>
          <w:b w:val="0"/>
          <w:sz w:val="20"/>
          <w:highlight w:val="yellow"/>
        </w:rPr>
        <w:t>[Add local and national references as required.]</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95959"/>
        <w:sz w:val="16"/>
      </w:rPr>
      <w:t xml:space="preserve">Page </w:t>
    </w:r>
    <w:r>
      <w:fldChar w:fldCharType="begin"/>
    </w:r>
    <w:r>
      <w:instrText xml:space="preserve">PAGE</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C00000"/>
        <w:sz w:val="16"/>
      </w:rPr>
      <w:t>DRAFT: assumptions awaiting specialty review. Not for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