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 xml:space="preserve">AI JOB MARKET ANALYSIS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Executive Summary  ·  Data Analyst Project  ·  Obaid Awan</w:t>
      </w:r>
    </w:p>
    <w:p>
      <w:pPr>
        <w:pBdr>
          <w:bottom w:val="single" w:color="1F4E79" w:sz="6" w:space="4"/>
        </w:pBdr>
        <w:spacing w:after="200"/>
      </w:pPr>
      <w:r>
        <w:t xml:space="preserve"/>
      </w:r>
    </w:p>
    <w:p>
      <w:pPr>
        <w:pStyle w:val="Heading2"/>
        <w:spacing w:after="120" w:before="250"/>
      </w:pPr>
      <w: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This report summarizes an end-to-end analysis of 2,000 AI-related job postings from 2025, covering salaries, in-demand skills, remote-work patterns, and regional hiring trends. The goal was to answer practical questions a job seeker, hiring manager, or workforce-planning analyst would ask about the AI job market today.</w:t>
      </w:r>
    </w:p>
    <w:p>
      <w:pPr>
        <w:pStyle w:val="Heading2"/>
        <w:spacing w:after="120" w:before="250"/>
      </w:pPr>
      <w:r>
        <w:t xml:space="preserve">Dataset At A Glance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pct" w:w="25%"/>
            <w:shd w:fill="EAF1F8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30"/>
                <w:szCs w:val="30"/>
              </w:rPr>
              <w:t xml:space="preserve">2,000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Job Postings Analyzed</w:t>
            </w:r>
          </w:p>
        </w:tc>
        <w:tc>
          <w:tcPr>
            <w:tcW w:type="pct" w:w="25%"/>
            <w:shd w:fill="EAF1F8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30"/>
                <w:szCs w:val="30"/>
              </w:rPr>
              <w:t xml:space="preserve">15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Job Titles Covered</w:t>
            </w:r>
          </w:p>
        </w:tc>
        <w:tc>
          <w:tcPr>
            <w:tcW w:type="pct" w:w="25%"/>
            <w:shd w:fill="EAF1F8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30"/>
                <w:szCs w:val="30"/>
              </w:rPr>
              <w:t xml:space="preserve">14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Countries</w:t>
            </w:r>
          </w:p>
        </w:tc>
        <w:tc>
          <w:tcPr>
            <w:tcW w:type="pct" w:w="25%"/>
            <w:shd w:fill="EAF1F8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30"/>
                <w:szCs w:val="30"/>
              </w:rPr>
              <w:t xml:space="preserve">22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AI Skills Tracked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Key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Specialization pays: Applied Scientist ($141.8K avg) and AI Research Engineer ($127.6K avg) roles pay 40-60% more than generalist AI Data Analyst roles ($57.1K avg).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Experience compounds fast: average salary rises from $63K (Entry) to $98K (Mid) to $138K (Senior) to $187K (Lead).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Python and SQL are the two most frequently required skills across nearly every AI-adjacent role, regardless of seniority or specialization.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Europe and North America lead in hiring volume (746 and 498 postings respectively), while South Asia shows a fast-growing share, often via remote-friendly roles.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Remote postings draw ~70% more applicants on average than on-site roles (48.4 vs. 28.5) - remote pays slightly more, but is meaningfully more competitive.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hiring volume is fairly steady across 2025, with only a mild seasonal dip in December.</w:t>
      </w:r>
    </w:p>
    <w:p>
      <w:pPr>
        <w:pStyle w:val="Heading2"/>
        <w:spacing w:after="120" w:before="250"/>
      </w:pPr>
      <w:r>
        <w:t xml:space="preserve">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Early-career candidates should anchor on Python + SQL fluency before specializing into deep learning frameworks (TensorFlow/PyTorch) or LLM tooling.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Consider hybrid or on-site roles as a lower-competition entry point, then transition to remote roles once a track record is established.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Target Fintech, E-commerce, and Media &amp; Entertainment industries, which show the strongest combination of hiring volume and competitive pay.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 those open to relocation or remote work, North America and Europe currently offer the highest average compensation for AI roles.</w:t>
      </w:r>
    </w:p>
    <w:p>
      <w:pPr>
        <w:pStyle w:val="Heading2"/>
        <w:spacing w:after="120" w:before="250"/>
      </w:pPr>
      <w:r>
        <w:t xml:space="preserve">Methodology</w:t>
      </w:r>
    </w:p>
    <w:p>
      <w:pPr>
        <w:spacing w:after="120"/>
      </w:pPr>
      <w:r>
        <w:rPr>
          <w:sz w:val="22"/>
          <w:szCs w:val="22"/>
        </w:rPr>
        <w:t xml:space="preserve">Data was processed and analyzed using Python (pandas, matplotlib, seaborn) and SQL (SQLite). The full analysis pipeline - data generation, cleaning, SQL querying, exploratory data analysis, and visualization - is available in the accompanying GitHub-ready project repository, including a fully executed Jupyter notebook and six supporting charts.</w:t>
      </w:r>
    </w:p>
    <w:p>
      <w:pPr>
        <w:pBdr>
          <w:top w:val="single" w:color="CCCCCC" w:sz="4" w:space="8"/>
        </w:pBdr>
        <w:spacing w:before="300"/>
      </w:pPr>
      <w:r>
        <w:rPr>
          <w:i/>
          <w:iCs/>
          <w:color w:val="777777"/>
          <w:sz w:val="18"/>
          <w:szCs w:val="18"/>
        </w:rPr>
        <w:t xml:space="preserve">Prepared as part of a self-directed Data Analyst portfolio project.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2026-07-05T18:05:40.848Z</dcterms:created>
  <dcterms:modified xsi:type="dcterms:W3CDTF">2026-07-05T18:05:40.848Z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