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276" w:val="clear"/>
        <w:spacing w:after="0" w:before="0"/>
        <w:ind w:left="1440" w:right="1440"/>
      </w:pPr>
      <w:r>
        <w:rPr>
          <w:rFonts w:ascii="Calibri" w:cs="Calibri" w:eastAsia="Calibri" w:hAnsi="Calibri"/>
          <w:sz w:val="80"/>
          <w:szCs w:val="80"/>
        </w:rPr>
        <w:t xml:space="preserve"> </w:t>
      </w:r>
    </w:p>
    <w:p>
      <w:pPr>
        <w:shd w:fill="148F77" w:val="clear"/>
        <w:spacing w:after="0" w:before="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600"/>
        <w:ind w:left="1440" w:right="1440"/>
        <w:jc w:val="center"/>
      </w:pPr>
      <w:r>
        <w:rPr>
          <w:rFonts w:ascii="Calibri" w:cs="Calibri" w:eastAsia="Calibri" w:hAnsi="Calibri"/>
          <w:b/>
          <w:bCs/>
          <w:color w:val="1A5276"/>
          <w:sz w:val="44"/>
          <w:szCs w:val="44"/>
        </w:rPr>
        <w:t xml:space="preserve">DOCUMENTACIÓN TÉCNICA</w:t>
      </w:r>
    </w:p>
    <w:p>
      <w:pPr>
        <w:pBdr>
          <w:bottom w:val="single" w:color="148F77" w:sz="12" w:space="0"/>
        </w:pBdr>
        <w:spacing w:after="80" w:before="80"/>
        <w:ind w:left="2880" w:right="288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200"/>
        <w:ind w:left="1440" w:right="1440"/>
        <w:jc w:val="center"/>
      </w:pPr>
      <w:r>
        <w:rPr>
          <w:rFonts w:ascii="Calibri" w:cs="Calibri" w:eastAsia="Calibri" w:hAnsi="Calibri"/>
          <w:b/>
          <w:bCs/>
          <w:color w:val="1A5276"/>
          <w:sz w:val="54"/>
          <w:szCs w:val="54"/>
        </w:rPr>
        <w:t xml:space="preserve">Aplicación Móvil para el Diagnóstico</w:t>
      </w:r>
    </w:p>
    <w:p>
      <w:pPr>
        <w:spacing w:after="200" w:before="0"/>
        <w:ind w:left="1440" w:right="1440"/>
        <w:jc w:val="center"/>
      </w:pPr>
      <w:r>
        <w:rPr>
          <w:rFonts w:ascii="Calibri" w:cs="Calibri" w:eastAsia="Calibri" w:hAnsi="Calibri"/>
          <w:b/>
          <w:bCs/>
          <w:color w:val="1A5276"/>
          <w:sz w:val="54"/>
          <w:szCs w:val="54"/>
        </w:rPr>
        <w:t xml:space="preserve">y Monitoreo del Parkinson</w:t>
      </w:r>
    </w:p>
    <w:p>
      <w:pPr>
        <w:spacing w:after="80" w:before="160"/>
        <w:ind w:left="1440" w:right="1440"/>
        <w:jc w:val="center"/>
      </w:pPr>
      <w:r>
        <w:rPr>
          <w:rFonts w:ascii="Calibri" w:cs="Calibri" w:eastAsia="Calibri" w:hAnsi="Calibri"/>
          <w:i/>
          <w:iCs/>
          <w:color w:val="117A65"/>
          <w:sz w:val="28"/>
          <w:szCs w:val="28"/>
        </w:rPr>
        <w:t xml:space="preserve">Modelado de Negocio — Arquitectura por Capas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F0F3F4" w:val="clear"/>
        <w:spacing w:after="0" w:before="0"/>
        <w:ind w:left="1440" w:right="1440"/>
      </w:pPr>
      <w:r>
        <w:rPr>
          <w:sz w:val="20"/>
          <w:szCs w:val="20"/>
        </w:rPr>
        <w:t xml:space="preserve"> </w:t>
      </w:r>
    </w:p>
    <w:p>
      <w:pPr>
        <w:shd w:fill="F0F3F4" w:val="clear"/>
        <w:spacing w:after="40" w:before="120"/>
        <w:ind w:left="1440" w:right="144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Versión 1.0  |  Junio 2026  |  Confidencial</w:t>
      </w:r>
    </w:p>
    <w:p>
      <w:pPr>
        <w:shd w:fill="F0F3F4" w:val="clear"/>
        <w:spacing w:after="0" w:before="0"/>
        <w:ind w:left="1440" w:right="1440"/>
      </w:pPr>
      <w:r>
        <w:rPr>
          <w:sz w:val="20"/>
          <w:szCs w:val="20"/>
        </w:rPr>
        <w:t xml:space="preserve"> </w:t>
      </w:r>
    </w:p>
    <w:p>
      <w:pPr>
        <w:shd w:fill="148F77" w:val="clear"/>
        <w:spacing w:after="0" w:before="0"/>
      </w:pPr>
      <w:r>
        <w:rPr>
          <w:sz w:val="16"/>
          <w:szCs w:val="16"/>
        </w:rPr>
        <w:t xml:space="preserve"> </w:t>
      </w:r>
    </w:p>
    <w:p>
      <w:pPr>
        <w:shd w:fill="1A5276" w:val="clear"/>
        <w:spacing w:after="0" w:before="0"/>
      </w:pPr>
      <w:r>
        <w:rPr>
          <w:sz w:val="60"/>
          <w:szCs w:val="60"/>
        </w:rPr>
        <w:t xml:space="preserve"> </w:t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A5276" w:val="clear"/>
        <w:spacing w:after="18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1. Introducción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El presente documento describe el modelado de negocio de una aplicación móvil orientada al diagnóstico y monitoreo de la enfermedad de Parkinson. La arquitectura está organizada en cinco capas funcionales bien definidas, cada una con responsabilidades específicas que garantizan la escalabilidad, seguridad y eficiencia clínica del sistema.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El objetivo principal de la aplicación es brindar a médicos, pacientes y cuidadores una herramienta integral que permita: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Capturar y analizar muestras de voz para detectar patrones asociados al Parkinson.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Proporcionar diagnósticos asistidos por inteligencia artificial y modelos de machine learning.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Monitorear el progreso del paciente en tiempo real con reportes médicos detallados.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Conectar a todos los actores del sistema (pacientes, médicos, especialistas) mediante una plataforma unificada.</w:t>
      </w:r>
    </w:p>
    <w:p>
      <w:pPr>
        <w:spacing w:after="60" w:before="60"/>
      </w:pPr>
      <w:r>
        <w:t xml:space="preserve"/>
      </w:r>
    </w:p>
    <w:p>
      <w:pPr>
        <w:pStyle w:val="Heading1"/>
        <w:shd w:fill="1A5276" w:val="clear"/>
        <w:spacing w:after="18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2. Visión General de la Arquitectura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La arquitectura del sistema sigue el patrón de diseño en capas (Layered Architecture), dividido en cinco niveles que separan las responsabilidades de presentación, integración, lógica de negocio, acceso a datos y almacenamiento persistente.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gridSpan w:val="3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Resumen de Capas del Sistema</w:t>
            </w:r>
          </w:p>
        </w:tc>
      </w:tr>
      <w:tr>
        <w:tc>
          <w:tcPr>
            <w:tcW w:type="dxa" w:w="22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 Principal</w:t>
            </w:r>
          </w:p>
        </w:tc>
      </w:tr>
      <w:tr>
        <w:tc>
          <w:tcPr>
            <w:tcW w:type="dxa" w:w="22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Capa 1</w:t>
            </w:r>
          </w:p>
        </w:tc>
        <w:tc>
          <w:tcPr>
            <w:tcW w:type="dxa" w:w="3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3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Interfaz de usuario (voz, visualización, web, móvil, código)</w:t>
            </w:r>
          </w:p>
        </w:tc>
      </w:tr>
      <w:tr>
        <w:tc>
          <w:tcPr>
            <w:tcW w:type="dxa" w:w="22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Capa 2</w:t>
            </w:r>
          </w:p>
        </w:tc>
        <w:tc>
          <w:tcPr>
            <w:tcW w:type="dxa" w:w="3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3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Conexión entre módulos: voz, diagnóstico, APIs, monitoreo, reportes</w:t>
            </w:r>
          </w:p>
        </w:tc>
      </w:tr>
      <w:tr>
        <w:tc>
          <w:tcPr>
            <w:tcW w:type="dxa" w:w="22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Capa 3</w:t>
            </w:r>
          </w:p>
        </w:tc>
        <w:tc>
          <w:tcPr>
            <w:tcW w:type="dxa" w:w="3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Servicios (Lógica de Negocio)</w:t>
            </w:r>
          </w:p>
        </w:tc>
        <w:tc>
          <w:tcPr>
            <w:tcW w:type="dxa" w:w="3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Motor de audio, modelo ML, sistema de recomendaciones médicas</w:t>
            </w:r>
          </w:p>
        </w:tc>
      </w:tr>
      <w:tr>
        <w:tc>
          <w:tcPr>
            <w:tcW w:type="dxa" w:w="22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Capa 4</w:t>
            </w:r>
          </w:p>
        </w:tc>
        <w:tc>
          <w:tcPr>
            <w:tcW w:type="dxa" w:w="3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Acceso a Datos</w:t>
            </w:r>
          </w:p>
        </w:tc>
        <w:tc>
          <w:tcPr>
            <w:tcW w:type="dxa" w:w="3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Registro de resultados, algoritmos de aprendizaje, conexión a BD</w:t>
            </w:r>
          </w:p>
        </w:tc>
      </w:tr>
      <w:tr>
        <w:tc>
          <w:tcPr>
            <w:tcW w:type="dxa" w:w="22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Capa 5</w:t>
            </w:r>
          </w:p>
        </w:tc>
        <w:tc>
          <w:tcPr>
            <w:tcW w:type="dxa" w:w="3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Datos</w:t>
            </w:r>
          </w:p>
        </w:tc>
        <w:tc>
          <w:tcPr>
            <w:tcW w:type="dxa" w:w="3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BD de pacientes, repositorio de audios, base de conocimiento médico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A5276" w:val="clear"/>
        <w:spacing w:after="18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3. Capa de Presentación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La capa de presentación es el punto de contacto directo con el usuario final. Agrupa todos los componentes de interfaz gráfica y de interacción que permiten al paciente, médico o administrador utilizar las funcionalidades del sistema.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48F77"/>
          <w:sz w:val="24"/>
          <w:szCs w:val="24"/>
        </w:rPr>
        <w:t xml:space="preserve">▸  3.1 Componentes de Interfaz de Usuario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3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3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Usuarios Objetivo</w:t>
            </w:r>
          </w:p>
        </w:tc>
      </w:tr>
      <w:tr>
        <w:tc>
          <w:tcPr>
            <w:tcW w:type="dxa" w:w="25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Módulo para grabar o subir voz</w:t>
            </w:r>
          </w:p>
        </w:tc>
        <w:tc>
          <w:tcPr>
            <w:tcW w:type="dxa" w:w="343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Permite capturar muestras de voz en tiempo real o cargar archivos de audio pregrabados para su análisis.</w:t>
            </w:r>
          </w:p>
        </w:tc>
        <w:tc>
          <w:tcPr>
            <w:tcW w:type="dxa" w:w="343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Pacientes, Cuidadores</w:t>
            </w:r>
          </w:p>
        </w:tc>
      </w:tr>
      <w:tr>
        <w:tc>
          <w:tcPr>
            <w:tcW w:type="dxa" w:w="25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Visualización de diagnóstico y gráficas</w:t>
            </w:r>
          </w:p>
        </w:tc>
        <w:tc>
          <w:tcPr>
            <w:tcW w:type="dxa" w:w="343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Presenta resultados de forma visual mediante gráficos, indicadores y reportes de tendencias temporales.</w:t>
            </w:r>
          </w:p>
        </w:tc>
        <w:tc>
          <w:tcPr>
            <w:tcW w:type="dxa" w:w="343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Médicos, Especialistas</w:t>
            </w:r>
          </w:p>
        </w:tc>
      </w:tr>
      <w:tr>
        <w:tc>
          <w:tcPr>
            <w:tcW w:type="dxa" w:w="25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Código (Interfaz de desarrollo)</w:t>
            </w:r>
          </w:p>
        </w:tc>
        <w:tc>
          <w:tcPr>
            <w:tcW w:type="dxa" w:w="343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Módulo para desarrolladores y administradores para acceder a funciones API y configuraciones avanzadas.</w:t>
            </w:r>
          </w:p>
        </w:tc>
        <w:tc>
          <w:tcPr>
            <w:tcW w:type="dxa" w:w="343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Desarrolladores, Admins</w:t>
            </w:r>
          </w:p>
        </w:tc>
      </w:tr>
      <w:tr>
        <w:tc>
          <w:tcPr>
            <w:tcW w:type="dxa" w:w="25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Aplicación Móvil</w:t>
            </w:r>
          </w:p>
        </w:tc>
        <w:tc>
          <w:tcPr>
            <w:tcW w:type="dxa" w:w="343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Interfaz nativa para iOS y Android con acceso completo a todas las funcionalidades del sistema.</w:t>
            </w:r>
          </w:p>
        </w:tc>
        <w:tc>
          <w:tcPr>
            <w:tcW w:type="dxa" w:w="343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Todos los usuarios</w:t>
            </w:r>
          </w:p>
        </w:tc>
      </w:tr>
      <w:tr>
        <w:tc>
          <w:tcPr>
            <w:tcW w:type="dxa" w:w="25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Aplicación Web</w:t>
            </w:r>
          </w:p>
        </w:tc>
        <w:tc>
          <w:tcPr>
            <w:tcW w:type="dxa" w:w="343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Portal web responsive accesible desde cualquier navegador, orientado a uso en escritorio.</w:t>
            </w:r>
          </w:p>
        </w:tc>
        <w:tc>
          <w:tcPr>
            <w:tcW w:type="dxa" w:w="343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Médicos, Administradores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A5276" w:val="clear"/>
        <w:spacing w:after="18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4. Capa de Integración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La capa de integración actúa como intermediaria entre la presentación y los servicios de negocio. Gestiona los flujos de datos, orquesta las llamadas a servicios externos e internos y garantiza la cohesión entre los distintos módulos funcionales.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48F77"/>
          <w:sz w:val="24"/>
          <w:szCs w:val="24"/>
        </w:rPr>
        <w:t xml:space="preserve">▸  4.1 Módulos de Integración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86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 Sugerida</w:t>
            </w:r>
          </w:p>
        </w:tc>
      </w:tr>
      <w:tr>
        <w:tc>
          <w:tcPr>
            <w:tcW w:type="dxa" w:w="25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Captura de Voz</w:t>
            </w:r>
          </w:p>
        </w:tc>
        <w:tc>
          <w:tcPr>
            <w:tcW w:type="dxa" w:w="40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Gestiona la recepción de archivos de audio y los redirige al motor de procesamiento. Valida formato, duración y calidad.</w:t>
            </w:r>
          </w:p>
        </w:tc>
        <w:tc>
          <w:tcPr>
            <w:tcW w:type="dxa" w:w="286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WebRTC / MediaRecorder API</w:t>
            </w:r>
          </w:p>
        </w:tc>
      </w:tr>
      <w:tr>
        <w:tc>
          <w:tcPr>
            <w:tcW w:type="dxa" w:w="25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Diagnóstico de Parkinson</w:t>
            </w:r>
          </w:p>
        </w:tc>
        <w:tc>
          <w:tcPr>
            <w:tcW w:type="dxa" w:w="40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Orquesta el flujo completo: desde la recepción del audio hasta la generación del resultado diagnóstico con nivel de confianza.</w:t>
            </w:r>
          </w:p>
        </w:tc>
        <w:tc>
          <w:tcPr>
            <w:tcW w:type="dxa" w:w="286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REST API / Microservicios</w:t>
            </w:r>
          </w:p>
        </w:tc>
      </w:tr>
      <w:tr>
        <w:tc>
          <w:tcPr>
            <w:tcW w:type="dxa" w:w="25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Conexiones de API</w:t>
            </w:r>
          </w:p>
        </w:tc>
        <w:tc>
          <w:tcPr>
            <w:tcW w:type="dxa" w:w="40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Centraliza integraciones con sistemas externos: HIS/EHR hospitalarios, notificaciones y plataformas de telemedicina.</w:t>
            </w:r>
          </w:p>
        </w:tc>
        <w:tc>
          <w:tcPr>
            <w:tcW w:type="dxa" w:w="286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API Gateway / OAuth 2.0</w:t>
            </w:r>
          </w:p>
        </w:tc>
      </w:tr>
      <w:tr>
        <w:tc>
          <w:tcPr>
            <w:tcW w:type="dxa" w:w="25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Monitoreo de Progreso</w:t>
            </w:r>
          </w:p>
        </w:tc>
        <w:tc>
          <w:tcPr>
            <w:tcW w:type="dxa" w:w="40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Recopila datos periódicos del paciente y genera alertas ante variaciones significativas en los indicadores.</w:t>
            </w:r>
          </w:p>
        </w:tc>
        <w:tc>
          <w:tcPr>
            <w:tcW w:type="dxa" w:w="286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WebSockets / MQTT</w:t>
            </w:r>
          </w:p>
        </w:tc>
      </w:tr>
      <w:tr>
        <w:tc>
          <w:tcPr>
            <w:tcW w:type="dxa" w:w="25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Reportes Médicos</w:t>
            </w:r>
          </w:p>
        </w:tc>
        <w:tc>
          <w:tcPr>
            <w:tcW w:type="dxa" w:w="40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Genera y distribuye reportes clínicos automatizados en formatos estandarizados (PDF, HL7, FHIR).</w:t>
            </w:r>
          </w:p>
        </w:tc>
        <w:tc>
          <w:tcPr>
            <w:tcW w:type="dxa" w:w="286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PDF Engine / FHIR R4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A5276" w:val="clear"/>
        <w:spacing w:after="18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5. Capa de Servicios (Lógica de Negocio)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El núcleo inteligente del sistema reside en la capa de servicios. Aquí se concentran los algoritmos de procesamiento de señales de voz, los modelos de aprendizaje automático y el sistema de apoyo a la toma de decisiones médicas.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48F77"/>
          <w:sz w:val="24"/>
          <w:szCs w:val="24"/>
        </w:rPr>
        <w:t xml:space="preserve">▸  5.1 Motor de Procesamiento de Audio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Componente encargado de preprocesar y analizar las señales de voz. Sus funciones incluyen: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Extracción de características acústicas: MFCC, jitter, shimmer, HNR (Harmonics-to-Noise Ratio).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Normalización y filtrado de ruido de fondo para mejorar la calidad del análisis.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Segmentación automática de fonemas y detección de patrones de disartria.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Generación de espectrogramas y representaciones temporales para el modelo ML.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48F77"/>
          <w:sz w:val="24"/>
          <w:szCs w:val="24"/>
        </w:rPr>
        <w:t xml:space="preserve">▸  5.2 Modelo de Machine Learning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Componente central del sistema diagnóstico. Implementa algoritmos entrenados con datasets clínicos validados: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Algoritmos: Random Forest, SVM (Support Vector Machine), Redes Neuronales Recurrentes (LSTM).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Métricas objetivo: Precisión &gt; 85%, Sensibilidad &gt; 90%, Especificidad &gt; 80%.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Capacidad de reentrenamiento incremental con nuevos datos supervisados por especialistas.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Generación de puntuación de riesgo (0–100) con nivel de confianza estadístico.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48F77"/>
          <w:sz w:val="24"/>
          <w:szCs w:val="24"/>
        </w:rPr>
        <w:t xml:space="preserve">▸  5.3 Sistema de Recomendaciones Médicas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Módulo de apoyo a la decisión clínica. Basándose en el modelo ML y el historial del paciente, genera: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Recomendaciones de seguimiento personalizadas según estadio de la enfermedad.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Alertas tempranas ante deterioro significativo de indicadores vocales.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Sugerencias de ajuste de medicación para revisión del neurólogo tratante.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Referencias automáticas a especialistas cuando los indicadores superan umbrales críticos.</w:t>
      </w:r>
    </w:p>
    <w:p>
      <w:pPr>
        <w:spacing w:after="60" w:before="60"/>
      </w:pPr>
      <w:r>
        <w:t xml:space="preserve"/>
      </w:r>
    </w:p>
    <w:p>
      <w:pPr>
        <w:pStyle w:val="Heading1"/>
        <w:shd w:fill="1A5276" w:val="clear"/>
        <w:spacing w:after="18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6. Capa de Acceso a Datos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La capa de acceso a datos actúa como intermediaria entre la lógica de negocio y el almacenamiento persistente. Gestiona operaciones CRUD, control de transacciones y optimización de consultas.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80"/>
        <w:gridCol w:w="3180"/>
      </w:tblGrid>
      <w:tr>
        <w:tc>
          <w:tcPr>
            <w:gridSpan w:val="3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Componentes de Acceso a Datos</w:t>
            </w:r>
          </w:p>
        </w:tc>
      </w:tr>
      <w:tr>
        <w:tc>
          <w:tcPr>
            <w:tcW w:type="dxa" w:w="28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3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1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Características Clave</w:t>
            </w:r>
          </w:p>
        </w:tc>
      </w:tr>
      <w:tr>
        <w:tc>
          <w:tcPr>
            <w:tcW w:type="dxa" w:w="28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Registro de Resultados, Logs y Predicciones</w:t>
            </w:r>
          </w:p>
        </w:tc>
        <w:tc>
          <w:tcPr>
            <w:tcW w:type="dxa" w:w="33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Almacena cada transacción diagnóstica con marca de tiempo, parámetros y metadatos de auditoría.</w:t>
            </w:r>
          </w:p>
        </w:tc>
        <w:tc>
          <w:tcPr>
            <w:tcW w:type="dxa" w:w="31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Inmutabilidad, trazabilidad completa, cumplimiento NOM-024.</w:t>
            </w:r>
          </w:p>
        </w:tc>
      </w:tr>
      <w:tr>
        <w:tc>
          <w:tcPr>
            <w:tcW w:type="dxa" w:w="28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Algoritmos de Aprendizaje Automático</w:t>
            </w:r>
          </w:p>
        </w:tc>
        <w:tc>
          <w:tcPr>
            <w:tcW w:type="dxa" w:w="33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Gestiona el versionado de modelos ML, carga/descarga de pesos y ejecución de inferencias en tiempo real.</w:t>
            </w:r>
          </w:p>
        </w:tc>
        <w:tc>
          <w:tcPr>
            <w:tcW w:type="dxa" w:w="31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MLflow / Model Registry, A/B testing, rollback automático.</w:t>
            </w:r>
          </w:p>
        </w:tc>
      </w:tr>
      <w:tr>
        <w:tc>
          <w:tcPr>
            <w:tcW w:type="dxa" w:w="28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Conexión con Bases de Datos</w:t>
            </w:r>
          </w:p>
        </w:tc>
        <w:tc>
          <w:tcPr>
            <w:tcW w:type="dxa" w:w="33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Capa de abstracción ORM/ODM que gestiona conexiones seguras, pooling y distribución de lecturas/escrituras.</w:t>
            </w:r>
          </w:p>
        </w:tc>
        <w:tc>
          <w:tcPr>
            <w:tcW w:type="dxa" w:w="31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Connection pooling, cifrado TLS 1.3, failover automático.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A5276" w:val="clear"/>
        <w:spacing w:after="18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7. Capa de Datos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La capa de datos constituye la base de toda la infraestructura de información del sistema. Gestiona el almacenamiento persistente, la integridad y la disponibilidad de los datos clínicos y operativos.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48F77"/>
          <w:sz w:val="24"/>
          <w:szCs w:val="24"/>
        </w:rPr>
        <w:t xml:space="preserve">▸  7.1 Base de Datos de Pacientes y Diagnósticos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Almacén principal de información clínica estructurada. Contiene: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Perfiles de pacientes: datos demográficos, historial médico, medicación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Resultados diagnósticos con evolución temporal y comparativas entre consultas.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Registros de citas, seguimientos y comunicaciones médico-paciente.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Cifrado AES-256 en reposo y controles de acceso basados en roles (RBAC).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48F77"/>
          <w:sz w:val="24"/>
          <w:szCs w:val="24"/>
        </w:rPr>
        <w:t xml:space="preserve">▸  7.2 Repositorio de Audios de Voz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Almacén especializado para archivos de audio clínico. Características: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Soporte para formatos WAV, MP3 y FLAC con muestreo de 16kHz mínimo.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Almacenamiento en objeto (Object Storage) con metadatos indexados.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Política de retención configurable (mínimo 5 años para fines clínicos).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Acceso controlado con URLs firmadas de corta duración para protección de privacidad.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48F77"/>
          <w:sz w:val="24"/>
          <w:szCs w:val="24"/>
        </w:rPr>
        <w:t xml:space="preserve">▸  7.3 Base de Conocimiento Médico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Repositorio de información clínica de referencia que alimenta el sistema de recomendaciones: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Guías clínicas actualizadas sobre diagnóstico y tratamiento del Parkinson (MDS, AAN).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Escalas de evaluación: UPDRS, Hoehn &amp; Yahr, MDS-UPDRS.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Catálogo de medicamentos antiparkinsonistas con interacciones y contraindicaciones.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Dataset de referencia con biomarcadores vocales validados clínicamente.</w:t>
      </w:r>
    </w:p>
    <w:p>
      <w:pPr>
        <w:spacing w:after="60" w:before="60"/>
      </w:pPr>
      <w:r>
        <w:t xml:space="preserve"/>
      </w:r>
    </w:p>
    <w:p>
      <w:pPr>
        <w:pStyle w:val="Heading1"/>
        <w:shd w:fill="1A5276" w:val="clear"/>
        <w:spacing w:after="18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8. Flujo de Datos del Sistema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El flujo principal sigue una secuencia bien definida desde la captura de voz hasta la generación del reporte médico: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780"/>
        <w:gridCol w:w="2580"/>
      </w:tblGrid>
      <w:tr>
        <w:tc>
          <w:tcPr>
            <w:tcW w:type="dxa" w:w="9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1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7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</w:tr>
      <w:tr>
        <w:tc>
          <w:tcPr>
            <w:tcW w:type="dxa" w:w="9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37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El usuario graba o sube un archivo de voz desde la app móvil o web.</w:t>
            </w:r>
          </w:p>
        </w:tc>
        <w:tc>
          <w:tcPr>
            <w:tcW w:type="dxa" w:w="2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Archivo de audio crudo</w:t>
            </w:r>
          </w:p>
        </w:tc>
      </w:tr>
      <w:tr>
        <w:tc>
          <w:tcPr>
            <w:tcW w:type="dxa" w:w="9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37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El módulo de captura valida el archivo y lo envía al motor de procesamiento.</w:t>
            </w:r>
          </w:p>
        </w:tc>
        <w:tc>
          <w:tcPr>
            <w:tcW w:type="dxa" w:w="2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Audio validado y normalizado</w:t>
            </w:r>
          </w:p>
        </w:tc>
      </w:tr>
      <w:tr>
        <w:tc>
          <w:tcPr>
            <w:tcW w:type="dxa" w:w="9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Servicios</w:t>
            </w:r>
          </w:p>
        </w:tc>
        <w:tc>
          <w:tcPr>
            <w:tcW w:type="dxa" w:w="37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El motor de audio extrae características acústicas y las pasa al modelo ML.</w:t>
            </w:r>
          </w:p>
        </w:tc>
        <w:tc>
          <w:tcPr>
            <w:tcW w:type="dxa" w:w="2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Vector de características</w:t>
            </w:r>
          </w:p>
        </w:tc>
      </w:tr>
      <w:tr>
        <w:tc>
          <w:tcPr>
            <w:tcW w:type="dxa" w:w="9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Servicios</w:t>
            </w:r>
          </w:p>
        </w:tc>
        <w:tc>
          <w:tcPr>
            <w:tcW w:type="dxa" w:w="37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El modelo ML genera una puntuación diagnóstica con nivel de confianza.</w:t>
            </w:r>
          </w:p>
        </w:tc>
        <w:tc>
          <w:tcPr>
            <w:tcW w:type="dxa" w:w="2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Resultado diagnóstico (0–100)</w:t>
            </w:r>
          </w:p>
        </w:tc>
      </w:tr>
      <w:tr>
        <w:tc>
          <w:tcPr>
            <w:tcW w:type="dxa" w:w="9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Acceso a Datos</w:t>
            </w:r>
          </w:p>
        </w:tc>
        <w:tc>
          <w:tcPr>
            <w:tcW w:type="dxa" w:w="37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El resultado se registra en la base de datos con metadatos de sesión.</w:t>
            </w:r>
          </w:p>
        </w:tc>
        <w:tc>
          <w:tcPr>
            <w:tcW w:type="dxa" w:w="2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Registro persistido con log</w:t>
            </w:r>
          </w:p>
        </w:tc>
      </w:tr>
      <w:tr>
        <w:tc>
          <w:tcPr>
            <w:tcW w:type="dxa" w:w="9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Servicios</w:t>
            </w:r>
          </w:p>
        </w:tc>
        <w:tc>
          <w:tcPr>
            <w:tcW w:type="dxa" w:w="37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El sistema de recomendaciones genera indicaciones clínicas personalizadas.</w:t>
            </w:r>
          </w:p>
        </w:tc>
        <w:tc>
          <w:tcPr>
            <w:tcW w:type="dxa" w:w="2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Recomendaciones médicas</w:t>
            </w:r>
          </w:p>
        </w:tc>
      </w:tr>
      <w:tr>
        <w:tc>
          <w:tcPr>
            <w:tcW w:type="dxa" w:w="9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37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El módulo de reportes compila la información y genera el reporte médico.</w:t>
            </w:r>
          </w:p>
        </w:tc>
        <w:tc>
          <w:tcPr>
            <w:tcW w:type="dxa" w:w="2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Reporte PDF/FHIR listo</w:t>
            </w:r>
          </w:p>
        </w:tc>
      </w:tr>
      <w:tr>
        <w:tc>
          <w:tcPr>
            <w:tcW w:type="dxa" w:w="9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37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El médico y el paciente visualizan los resultados en la interfaz.</w:t>
            </w:r>
          </w:p>
        </w:tc>
        <w:tc>
          <w:tcPr>
            <w:tcW w:type="dxa" w:w="25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Visualización interactiva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A5276" w:val="clear"/>
        <w:spacing w:after="18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9. Seguridad y Cumplimiento Normativo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La aplicación maneja datos médicos sensibles, por lo que debe cumplir con estándares de seguridad y normativas de privacidad aplicables: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4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Normativa / Estándar</w:t>
            </w:r>
          </w:p>
        </w:tc>
        <w:tc>
          <w:tcPr>
            <w:tcW w:type="dxa" w:w="34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24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Privacidad de datos</w:t>
            </w:r>
          </w:p>
        </w:tc>
        <w:tc>
          <w:tcPr>
            <w:tcW w:type="dxa" w:w="34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NOM-024-SSA3-2010 (México), GDPR</w:t>
            </w:r>
          </w:p>
        </w:tc>
        <w:tc>
          <w:tcPr>
            <w:tcW w:type="dxa" w:w="34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Consentimiento digital, anonimización de datos de investigación.</w:t>
            </w:r>
          </w:p>
        </w:tc>
      </w:tr>
      <w:tr>
        <w:tc>
          <w:tcPr>
            <w:tcW w:type="dxa" w:w="24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Seguridad clínica</w:t>
            </w:r>
          </w:p>
        </w:tc>
        <w:tc>
          <w:tcPr>
            <w:tcW w:type="dxa" w:w="34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HIPAA (referencia int'l), ISO 27001</w:t>
            </w:r>
          </w:p>
        </w:tc>
        <w:tc>
          <w:tcPr>
            <w:tcW w:type="dxa" w:w="34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Cifrado AES-256, autenticación multifactor (MFA), auditoría de accesos.</w:t>
            </w:r>
          </w:p>
        </w:tc>
      </w:tr>
      <w:tr>
        <w:tc>
          <w:tcPr>
            <w:tcW w:type="dxa" w:w="24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Interoperabilidad</w:t>
            </w:r>
          </w:p>
        </w:tc>
        <w:tc>
          <w:tcPr>
            <w:tcW w:type="dxa" w:w="34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HL7 FHIR R4, ICD-11</w:t>
            </w:r>
          </w:p>
        </w:tc>
        <w:tc>
          <w:tcPr>
            <w:tcW w:type="dxa" w:w="34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Integración con sistemas hospitalarios mediante estándares internacionales.</w:t>
            </w:r>
          </w:p>
        </w:tc>
      </w:tr>
      <w:tr>
        <w:tc>
          <w:tcPr>
            <w:tcW w:type="dxa" w:w="24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34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SLA 99.9% uptime</w:t>
            </w:r>
          </w:p>
        </w:tc>
        <w:tc>
          <w:tcPr>
            <w:tcW w:type="dxa" w:w="34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Arquitectura cloud con redundancia y backups automáticos diarios.</w:t>
            </w:r>
          </w:p>
        </w:tc>
      </w:tr>
      <w:tr>
        <w:tc>
          <w:tcPr>
            <w:tcW w:type="dxa" w:w="240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34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Auditoría completa</w:t>
            </w:r>
          </w:p>
        </w:tc>
        <w:tc>
          <w:tcPr>
            <w:tcW w:type="dxa" w:w="3480"/>
            <w:tcBorders>
              <w:top w:val="single" w:color="E5E8E8" w:sz="1"/>
              <w:left w:val="single" w:color="E5E8E8" w:sz="1"/>
              <w:bottom w:val="single" w:color="E5E8E8" w:sz="1"/>
              <w:right w:val="single" w:color="E5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Logs inmutables de toda operación con marca de tiempo y usuario.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A5276" w:val="clear"/>
        <w:spacing w:after="180" w:before="4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10. Conclusiones</w:t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El modelado de negocio presentado define una arquitectura robusta, escalable y clínicamente orientada para una aplicación de diagnóstico y monitoreo del Parkinson mediante análisis de voz.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Los puntos clave del diseño 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Separación clara de responsabilidades mediante arquitectura en 5 capas, facilitando el mantenimiento y evolución independiente de cada componente.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Integración de inteligencia artificial en el núcleo del sistema, con modelos de ML validados clínicamente para el análisis de biomarcadores vocales.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Diseño centrado en la seguridad y privacidad del paciente, con cumplimiento de normativas nacionales e internacionales del sector salud.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Escalabilidad horizontal gracias al uso de microservicios y almacenamiento en la nube, permitiendo crecer sin rediseño arquitectónico.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Interoperabilidad con sistemas hospitalarios existentes mediante HL7 FHIR, facilitando la adopción institucional.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424949"/>
          <w:sz w:val="22"/>
          <w:szCs w:val="22"/>
        </w:rPr>
        <w:t xml:space="preserve">Esta arquitectura sienta las bases para un desarrollo iterativo que puede comenzar con el MVP (captura y análisis de voz + diagnóstico básico) y expandirse progresivamente hacia las funcionalidades completas de monitoreo continuo y recomendaciones médicas personalizadas.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F8F9FA" w:val="clear"/>
      <w:spacing w:after="0" w:before="100"/>
    </w:pPr>
    <w:r>
      <w:rPr>
        <w:rFonts w:ascii="Calibri" w:cs="Calibri" w:eastAsia="Calibri" w:hAnsi="Calibri"/>
        <w:color w:val="888888"/>
        <w:sz w:val="18"/>
        <w:szCs w:val="18"/>
      </w:rPr>
      <w:t xml:space="preserve">  Aplicación Parkinson — Documentación Técnica Interna     Pág. </w:t>
    </w:r>
    <w:r>
      <w:rPr>
        <w:rFonts w:ascii="Calibri" w:cs="Calibri" w:eastAsia="Calibri" w:hAnsi="Calibri"/>
        <w:b/>
        <w:bCs/>
        <w:color w:val="1A527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b/>
        <w:bCs/>
        <w:color w:val="1A527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  <w:szCs w:val="18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5276" w:val="clear"/>
      <w:spacing w:after="0" w:before="0"/>
    </w:pPr>
    <w:r>
      <w:rPr>
        <w:rFonts w:ascii="Calibri" w:cs="Calibri" w:eastAsia="Calibri" w:hAnsi="Calibri"/>
        <w:b/>
        <w:bCs/>
        <w:color w:val="FFFFFF"/>
        <w:sz w:val="18"/>
        <w:szCs w:val="18"/>
      </w:rPr>
      <w:t xml:space="preserve">  App Parkinson  |  Modelado de Negocio — Documentación Técnica  v1.0</w:t>
    </w:r>
  </w:p>
  <w:p>
    <w:pPr>
      <w:shd w:fill="148F77" w:val="clear"/>
      <w:spacing w:after="120" w:before="0"/>
    </w:pPr>
    <w:r>
      <w:rPr>
        <w:sz w:val="8"/>
        <w:szCs w:val="8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Calibri" w:cs="Calibri" w:eastAsia="Calibri" w:hAnsi="Calibri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48F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2026-06-03T01:26:39.682Z</dcterms:created>
  <dcterms:modified xsi:type="dcterms:W3CDTF">2026-06-03T01:26:39.682Z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