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5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Fond graphique de la page de garde" title="Couv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drawing>
          <wp:anchor distT="0" distB="0" distL="0" distR="0" simplePos="0" allowOverlap="1" behindDoc="0" locked="0" layoutInCell="1" relativeHeight="10696600">
            <wp:simplePos x="0" y="0"/>
            <wp:positionH relativeFrom="page">
              <wp:posOffset>1080000</wp:posOffset>
            </wp:positionH>
            <wp:positionV relativeFrom="page">
              <wp:posOffset>900000</wp:posOffset>
            </wp:positionV>
            <wp:extent cx="1850000" cy="1873768"/>
            <wp:effectExtent t="0" r="0" b="0" l="0"/>
            <wp:wrapNone/>
            <wp:docPr id="2" name="logo" descr="Logo Mwangaza Wetu" title="Logo"/>
            <wp:cNvGraphicFramePr/>
            <a:graphic xmlns:a="http://schemas.openxmlformats.org/drawingml/2006/main">
              <a:graphicData uri="http://schemas.openxmlformats.org/drawingml/2006/picture">
                <pic:pic xmlns:pic="http://schemas.openxmlformats.org/drawingml/2006/picture">
                  <pic:nvPicPr>
                    <pic:cNvPr id="0" name="logo" descr="Logo Mwangaza Wetu — Mini-coopérative d'épargne et de crédit"/>
                    <pic:cNvPicPr/>
                  </pic:nvPicPr>
                  <pic:blipFill>
                    <a:blip r:embed="rId11"/>
                    <a:stretch>
                      <a:fillRect/>
                    </a:stretch>
                  </pic:blipFill>
                  <pic:spPr>
                    <a:xfrm>
                      <a:off x="0" y="0"/>
                      <a:ext cx="1850000" cy="1873768"/>
                    </a:xfrm>
                    <a:prstGeom prst="rect">
                      <a:avLst/>
                    </a:prstGeom>
                  </pic:spPr>
                </pic:pic>
              </a:graphicData>
            </a:graphic>
          </wp:anchor>
        </w:drawing>
      </w:r>
    </w:p>
    <w:p>
      <w:pPr>
        <w:spacing w:after="0" w:line="240" w:lineRule="auto"/>
      </w:pPr>
      <w:r>
        <w:rPr>
          <w:rFonts w:ascii="Arial" w:cs="Arial" w:eastAsia="Arial" w:hAnsi="Arial"/>
          <w:b/>
          <w:bCs/>
          <w:color w:val="0B4C98"/>
          <w:spacing w:val="30"/>
          <w:sz w:val="64"/>
          <w:szCs w:val="64"/>
        </w:rPr>
        <w:t xml:space="preserve">DOSSIER</w:t>
      </w:r>
    </w:p>
    <w:p>
      <w:pPr>
        <w:spacing w:after="160" w:line="240" w:lineRule="auto"/>
      </w:pPr>
      <w:r>
        <w:rPr>
          <w:rFonts w:ascii="Arial" w:cs="Arial" w:eastAsia="Arial" w:hAnsi="Arial"/>
          <w:b/>
          <w:bCs/>
          <w:color w:val="1A2028"/>
          <w:spacing w:val="30"/>
          <w:sz w:val="64"/>
          <w:szCs w:val="64"/>
        </w:rPr>
        <w:t xml:space="preserve">FONCTIONNEL</w:t>
      </w:r>
    </w:p>
    <w:p>
      <w:pPr>
        <w:pBdr>
          <w:bottom w:val="single" w:color="E8530E" w:sz="24" w:space="1"/>
        </w:pBdr>
        <w:spacing w:after="220"/>
        <w:ind w:right="4000"/>
      </w:pPr>
    </w:p>
    <w:p>
      <w:pPr>
        <w:spacing w:after="360" w:line="276" w:lineRule="auto"/>
      </w:pPr>
      <w:r>
        <w:rPr>
          <w:rFonts w:ascii="Arial" w:cs="Arial" w:eastAsia="Arial" w:hAnsi="Arial"/>
          <w:color w:val="5A6470"/>
          <w:sz w:val="19"/>
          <w:szCs w:val="19"/>
        </w:rPr>
        <w:t xml:space="preserve">Fonctionnement de l’application de gestion de la coopérative — version de travail</w:t>
      </w:r>
    </w:p>
    <w:p>
      <w:pPr>
        <w:tabs>
          <w:tab w:val="left" w:pos="1500"/>
        </w:tabs>
        <w:spacing w:after="60" w:line="264" w:lineRule="auto"/>
      </w:pPr>
      <w:r>
        <w:rPr>
          <w:rFonts w:ascii="Arial" w:cs="Arial" w:eastAsia="Arial" w:hAnsi="Arial"/>
          <w:b/>
          <w:bCs/>
          <w:color w:val="0B4C98"/>
          <w:sz w:val="17"/>
          <w:szCs w:val="17"/>
        </w:rPr>
        <w:t xml:space="preserve">Destinataires</w:t>
      </w:r>
      <w:r>
        <w:rPr>
          <w:rFonts w:ascii="Arial" w:cs="Arial" w:eastAsia="Arial" w:hAnsi="Arial"/>
          <w:color w:val="5A6470"/>
          <w:sz w:val="17"/>
          <w:szCs w:val="17"/>
        </w:rPr>
        <w:t xml:space="preserve">	Direction, agents et équipe de réalisation</w:t>
      </w:r>
    </w:p>
    <w:p>
      <w:pPr>
        <w:tabs>
          <w:tab w:val="left" w:pos="1500"/>
        </w:tabs>
        <w:spacing w:after="60" w:line="264" w:lineRule="auto"/>
      </w:pPr>
      <w:r>
        <w:rPr>
          <w:rFonts w:ascii="Arial" w:cs="Arial" w:eastAsia="Arial" w:hAnsi="Arial"/>
          <w:b/>
          <w:bCs/>
          <w:color w:val="0B4C98"/>
          <w:sz w:val="17"/>
          <w:szCs w:val="17"/>
        </w:rPr>
        <w:t xml:space="preserve">Préparé par</w:t>
      </w:r>
      <w:r>
        <w:rPr>
          <w:rFonts w:ascii="Arial" w:cs="Arial" w:eastAsia="Arial" w:hAnsi="Arial"/>
          <w:color w:val="5A6470"/>
          <w:sz w:val="17"/>
          <w:szCs w:val="17"/>
        </w:rPr>
        <w:t xml:space="preserve">	Équipe projet</w:t>
      </w:r>
    </w:p>
    <w:p>
      <w:pPr>
        <w:tabs>
          <w:tab w:val="left" w:pos="1500"/>
        </w:tabs>
        <w:spacing w:after="60" w:line="264" w:lineRule="auto"/>
      </w:pPr>
      <w:r>
        <w:rPr>
          <w:rFonts w:ascii="Arial" w:cs="Arial" w:eastAsia="Arial" w:hAnsi="Arial"/>
          <w:b/>
          <w:bCs/>
          <w:color w:val="0B4C98"/>
          <w:sz w:val="17"/>
          <w:szCs w:val="17"/>
        </w:rPr>
        <w:t xml:space="preserve">Date</w:t>
      </w:r>
      <w:r>
        <w:rPr>
          <w:rFonts w:ascii="Arial" w:cs="Arial" w:eastAsia="Arial" w:hAnsi="Arial"/>
          <w:color w:val="5A6470"/>
          <w:sz w:val="17"/>
          <w:szCs w:val="17"/>
        </w:rPr>
        <w:t xml:space="preserve">	1er octobre 2026</w:t>
      </w:r>
    </w:p>
    <w:p>
      <w:pPr>
        <w:tabs>
          <w:tab w:val="left" w:pos="1500"/>
        </w:tabs>
        <w:spacing w:after="60" w:line="264" w:lineRule="auto"/>
      </w:pPr>
      <w:r>
        <w:rPr>
          <w:rFonts w:ascii="Arial" w:cs="Arial" w:eastAsia="Arial" w:hAnsi="Arial"/>
          <w:b/>
          <w:bCs/>
          <w:color w:val="0B4C98"/>
          <w:sz w:val="17"/>
          <w:szCs w:val="17"/>
        </w:rPr>
        <w:t xml:space="preserve">Statut</w:t>
      </w:r>
      <w:r>
        <w:rPr>
          <w:rFonts w:ascii="Arial" w:cs="Arial" w:eastAsia="Arial" w:hAnsi="Arial"/>
          <w:color w:val="5A6470"/>
          <w:sz w:val="17"/>
          <w:szCs w:val="17"/>
        </w:rPr>
        <w:t xml:space="preserve">	Document à examiner et à valider par la direction</w:t>
      </w:r>
    </w:p>
    <w:p>
      <w:pPr>
        <w:sectPr>
          <w:pgSz w:w="11906" w:h="16838" w:orient="portrait"/>
          <w:pgMar w:top="1000" w:right="4800" w:bottom="1000" w:left="1700" w:header="708" w:footer="708" w:gutter="0"/>
          <w:pgNumType/>
          <w:docGrid w:linePitch="360"/>
        </w:sectPr>
      </w:pPr>
    </w:p>
    <w:p>
      <w:pPr>
        <w:keepNext/>
        <w:pBdr>
          <w:bottom w:val="single" w:color="0B4C98" w:sz="6" w:space="4"/>
        </w:pBdr>
        <w:spacing w:after="160" w:before="360"/>
        <w:outlineLvl w:val="0"/>
      </w:pPr>
      <w:r>
        <w:rPr>
          <w:rFonts w:ascii="Arial" w:cs="Arial" w:eastAsia="Arial" w:hAnsi="Arial"/>
          <w:b/>
          <w:bCs/>
          <w:color w:val="0B4C98"/>
          <w:sz w:val="30"/>
          <w:szCs w:val="30"/>
        </w:rPr>
        <w:t xml:space="preserve">Objet du document</w:t>
      </w:r>
    </w:p>
    <w:p>
      <w:pPr>
        <w:spacing w:after="120" w:line="288" w:lineRule="auto"/>
      </w:pPr>
      <w:r>
        <w:rPr>
          <w:rFonts w:ascii="Arial" w:cs="Arial" w:eastAsia="Arial" w:hAnsi="Arial"/>
          <w:color w:val="26303B"/>
          <w:sz w:val="20"/>
          <w:szCs w:val="20"/>
        </w:rPr>
        <w:t xml:space="preserve">Rassembler les besoins connus, décrire les principaux processus de la coopérative et identifier les décisions qui doivent être confirmées avant la réalisation de l’application.</w:t>
      </w:r>
    </w:p>
    <w:p>
      <w:pPr>
        <w:spacing w:after="120" w:line="288" w:lineRule="auto"/>
      </w:pPr>
      <w:r>
        <w:rPr>
          <w:rFonts w:ascii="Arial" w:cs="Arial" w:eastAsia="Arial" w:hAnsi="Arial"/>
          <w:color w:val="26303B"/>
          <w:sz w:val="20"/>
          <w:szCs w:val="20"/>
        </w:rPr>
        <w:t xml:space="preserve">Les paramètres financiers encore incertains sont signalés dans le document. Ils doivent être confirmés par la direction avant d’être intégrés au système.</w:t>
      </w:r>
    </w:p>
    <w:p>
      <w:pPr>
        <w:spacing w:after="120" w:line="288" w:lineRule="auto"/>
      </w:pPr>
      <w:r>
        <w:rPr>
          <w:rFonts w:ascii="Arial" w:cs="Arial" w:eastAsia="Arial" w:hAnsi="Arial"/>
          <w:i/>
          <w:iCs/>
          <w:color w:val="5A6470"/>
          <w:sz w:val="18"/>
          <w:szCs w:val="18"/>
        </w:rPr>
        <w:t xml:space="preserve">Document de travail préparé à partir des éléments transmis par la coopérative.</w:t>
      </w:r>
    </w:p>
    <w:p>
      <w:pPr>
        <w:keepNext/>
        <w:pBdr>
          <w:bottom w:val="single" w:color="0B4C98" w:sz="6" w:space="4"/>
        </w:pBdr>
        <w:spacing w:after="160" w:before="360"/>
        <w:outlineLvl w:val="0"/>
      </w:pPr>
      <w:r>
        <w:rPr>
          <w:rFonts w:ascii="Arial" w:cs="Arial" w:eastAsia="Arial" w:hAnsi="Arial"/>
          <w:b/>
          <w:bCs/>
          <w:color w:val="0B4C98"/>
          <w:sz w:val="30"/>
          <w:szCs w:val="30"/>
        </w:rPr>
        <w:t xml:space="preserve">Historique, objectif et statut</w:t>
      </w:r>
    </w:p>
    <w:p>
      <w:pPr>
        <w:spacing w:after="120" w:line="288" w:lineRule="auto"/>
      </w:pPr>
      <w:r>
        <w:rPr>
          <w:rFonts w:ascii="Arial" w:cs="Arial" w:eastAsia="Arial" w:hAnsi="Arial"/>
          <w:color w:val="26303B"/>
          <w:sz w:val="20"/>
          <w:szCs w:val="20"/>
        </w:rPr>
        <w:t xml:space="preserve">Ce document reprend les éléments du dossier initial de Mwangaza Wetu et les organise pour faciliter la compréhension par la direction, la validation des règles métier et la préparation du développement. Il ne certifie pas que les fonctionnalités décrites existent déjà dans une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Élément</w:t>
            </w:r>
          </w:p>
        </w:tc>
        <w:tc>
          <w:tcPr>
            <w:tcW w:type="dxa" w:w="74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Description</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Objectif</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Décrire le fonctionnement attendu de l’application de gestion de la coopérative.</w:t>
            </w:r>
          </w:p>
        </w:tc>
      </w:tr>
      <w:tr>
        <w:trPr>
          <w:cantSplit/>
        </w:trPr>
        <w:tc>
          <w:tcPr>
            <w:tcW w:type="dxa" w:w="22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Base de travail</w:t>
            </w:r>
          </w:p>
        </w:tc>
        <w:tc>
          <w:tcPr>
            <w:tcW w:type="dxa" w:w="7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Dossier de présentation et décisions à prendre fourni par le demandeur.</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Statut des règles</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Les règles issues du dossier sont conservées ; les zones ambiguës ou incomplètes sont signalées.</w:t>
            </w:r>
          </w:p>
        </w:tc>
      </w:tr>
      <w:tr>
        <w:trPr>
          <w:cantSplit/>
        </w:trPr>
        <w:tc>
          <w:tcPr>
            <w:tcW w:type="dxa" w:w="22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Validation</w:t>
            </w:r>
          </w:p>
        </w:tc>
        <w:tc>
          <w:tcPr>
            <w:tcW w:type="dxa" w:w="7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La direction confirme les décisions métier, les paramètres financiers et le périmètre avant le développement correspondant.</w:t>
            </w:r>
          </w:p>
        </w:tc>
      </w:tr>
    </w:tbl>
    <w:p>
      <w:pPr>
        <w:keepNext/>
        <w:spacing w:after="100" w:before="260"/>
        <w:outlineLvl w:val="1"/>
      </w:pPr>
      <w:r>
        <w:rPr>
          <w:rFonts w:ascii="Arial" w:cs="Arial" w:eastAsia="Arial" w:hAnsi="Arial"/>
          <w:b/>
          <w:bCs/>
          <w:color w:val="1A2028"/>
          <w:sz w:val="23"/>
          <w:szCs w:val="23"/>
        </w:rPr>
        <w:t xml:space="preserve">Convention de lecture</w:t>
      </w:r>
    </w:p>
    <w:p>
      <w:pPr>
        <w:pStyle w:val="ListParagraph"/>
        <w:numPr>
          <w:ilvl w:val="0"/>
          <w:numId w:val="2"/>
        </w:numPr>
        <w:spacing w:after="70" w:line="280" w:lineRule="auto"/>
      </w:pPr>
      <w:r>
        <w:rPr>
          <w:rFonts w:ascii="Arial" w:cs="Arial" w:eastAsia="Arial" w:hAnsi="Arial"/>
          <w:b/>
          <w:bCs/>
          <w:color w:val="26303B"/>
          <w:sz w:val="20"/>
          <w:szCs w:val="20"/>
        </w:rPr>
        <w:t xml:space="preserve">Élément décrit dans le dossier : </w:t>
      </w:r>
      <w:r>
        <w:rPr>
          <w:rFonts w:ascii="Arial" w:cs="Arial" w:eastAsia="Arial" w:hAnsi="Arial"/>
          <w:color w:val="26303B"/>
          <w:sz w:val="20"/>
          <w:szCs w:val="20"/>
        </w:rPr>
        <w:t xml:space="preserve">information explicitement présente dans le document initial.</w:t>
      </w:r>
    </w:p>
    <w:p>
      <w:pPr>
        <w:pStyle w:val="ListParagraph"/>
        <w:numPr>
          <w:ilvl w:val="0"/>
          <w:numId w:val="2"/>
        </w:numPr>
        <w:spacing w:after="70" w:line="280" w:lineRule="auto"/>
      </w:pPr>
      <w:r>
        <w:rPr>
          <w:rFonts w:ascii="Arial" w:cs="Arial" w:eastAsia="Arial" w:hAnsi="Arial"/>
          <w:b/>
          <w:bCs/>
          <w:color w:val="26303B"/>
          <w:sz w:val="20"/>
          <w:szCs w:val="20"/>
        </w:rPr>
        <w:t xml:space="preserve">À confirmer : </w:t>
      </w:r>
      <w:r>
        <w:rPr>
          <w:rFonts w:ascii="Arial" w:cs="Arial" w:eastAsia="Arial" w:hAnsi="Arial"/>
          <w:color w:val="26303B"/>
          <w:sz w:val="20"/>
          <w:szCs w:val="20"/>
        </w:rPr>
        <w:t xml:space="preserve">décision ou précision encore nécessaire auprès de la direction.</w:t>
      </w:r>
    </w:p>
    <w:p>
      <w:pPr>
        <w:pStyle w:val="ListParagraph"/>
        <w:numPr>
          <w:ilvl w:val="0"/>
          <w:numId w:val="2"/>
        </w:numPr>
        <w:spacing w:after="70" w:line="280" w:lineRule="auto"/>
      </w:pPr>
      <w:r>
        <w:rPr>
          <w:rFonts w:ascii="Arial" w:cs="Arial" w:eastAsia="Arial" w:hAnsi="Arial"/>
          <w:b/>
          <w:bCs/>
          <w:color w:val="26303B"/>
          <w:sz w:val="20"/>
          <w:szCs w:val="20"/>
        </w:rPr>
        <w:t xml:space="preserve">Recommandation : </w:t>
      </w:r>
      <w:r>
        <w:rPr>
          <w:rFonts w:ascii="Arial" w:cs="Arial" w:eastAsia="Arial" w:hAnsi="Arial"/>
          <w:color w:val="26303B"/>
          <w:sz w:val="20"/>
          <w:szCs w:val="20"/>
        </w:rPr>
        <w:t xml:space="preserve">amélioration proposée pour rendre le fonctionnement plus clair, contrôlable et testable.</w:t>
      </w:r>
    </w:p>
    <w:p>
      <w:pPr>
        <w:keepNext/>
        <w:spacing w:after="100" w:before="260"/>
        <w:outlineLvl w:val="1"/>
      </w:pPr>
      <w:r>
        <w:rPr>
          <w:rFonts w:ascii="Arial" w:cs="Arial" w:eastAsia="Arial" w:hAnsi="Arial"/>
          <w:b/>
          <w:bCs/>
          <w:color w:val="1A2028"/>
          <w:sz w:val="23"/>
          <w:szCs w:val="23"/>
        </w:rPr>
        <w:t xml:space="preserve">Périmètre fonctionnel identifié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Domaine</w:t>
            </w:r>
          </w:p>
        </w:tc>
        <w:tc>
          <w:tcPr>
            <w:tcW w:type="dxa" w:w="74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Contenu mentionné dans le dossier source</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Épargne</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Compte Épargne Principal et Dépôt à Terme (DAT).</w:t>
            </w:r>
          </w:p>
        </w:tc>
      </w:tr>
      <w:tr>
        <w:trPr>
          <w:cantSplit/>
        </w:trPr>
        <w:tc>
          <w:tcPr>
            <w:tcW w:type="dxa" w:w="22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Crédits</w:t>
            </w:r>
          </w:p>
        </w:tc>
        <w:tc>
          <w:tcPr>
            <w:tcW w:type="dxa" w:w="7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BIASHARA, KELASI et NYUMBA.</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Services</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Assurance Santé et SAFARI (transport et déplacements).</w:t>
            </w:r>
          </w:p>
        </w:tc>
      </w:tr>
      <w:tr>
        <w:trPr>
          <w:cantSplit/>
        </w:trPr>
        <w:tc>
          <w:tcPr>
            <w:tcW w:type="dxa" w:w="22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Administration</w:t>
            </w:r>
          </w:p>
        </w:tc>
        <w:tc>
          <w:tcPr>
            <w:tcW w:type="dxa" w:w="7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Rôles Admin, Agent et Membre, paramètres, rapports et journal d’activité.</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Point en suspens</w:t>
            </w:r>
          </w:p>
        </w:tc>
        <w:tc>
          <w:tcPr>
            <w:tcW w:type="dxa" w:w="7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Maintien ou abandon du compte MUTOTO (avenir des enfants).</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1. Démarche professionnelle de réalisation</w:t>
      </w:r>
    </w:p>
    <w:p>
      <w:pPr>
        <w:spacing w:after="120" w:line="288" w:lineRule="auto"/>
      </w:pPr>
      <w:r>
        <w:rPr>
          <w:rFonts w:ascii="Arial" w:cs="Arial" w:eastAsia="Arial" w:hAnsi="Arial"/>
          <w:color w:val="26303B"/>
          <w:sz w:val="20"/>
          <w:szCs w:val="20"/>
        </w:rPr>
        <w:t xml:space="preserve">Le fonctionnement de l’application doit être construit à partir des procédures réelles de la coopérative. La direction exprime les besoins et prend les décisions métier ; l’analyste les formalise ; la direction les valide ; l’équipe technique les traduit en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3688"/>
        <w:gridCol w:w="2400"/>
      </w:tblGrid>
      <w:tr>
        <w:trPr>
          <w:cantSplit/>
          <w:tblHeader/>
        </w:trPr>
        <w:tc>
          <w:tcPr>
            <w:tcW w:type="dxa" w:w="165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Étape</w:t>
            </w:r>
          </w:p>
        </w:tc>
        <w:tc>
          <w:tcPr>
            <w:tcW w:type="dxa" w:w="19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Responsable principal</w:t>
            </w:r>
          </w:p>
        </w:tc>
        <w:tc>
          <w:tcPr>
            <w:tcW w:type="dxa" w:w="368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Activités</w:t>
            </w:r>
          </w:p>
        </w:tc>
        <w:tc>
          <w:tcPr>
            <w:tcW w:type="dxa" w:w="24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Livrable</w:t>
            </w:r>
          </w:p>
        </w:tc>
      </w:tr>
      <w:tr>
        <w:trPr>
          <w:cantSplit/>
        </w:trPr>
        <w:tc>
          <w:tcPr>
            <w:tcW w:type="dxa" w:w="16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1. Expression des besoins</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Client / Direction</w:t>
            </w:r>
          </w:p>
        </w:tc>
        <w:tc>
          <w:tcPr>
            <w:tcW w:type="dxa" w:w="368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Présenter les objectifs, les procédures, les utilisateurs, les produits, les contraintes et les difficultés actuelles.</w:t>
            </w:r>
          </w:p>
        </w:tc>
        <w:tc>
          <w:tcPr>
            <w:tcW w:type="dxa" w:w="2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Expression des besoins et documents de référence.</w:t>
            </w:r>
          </w:p>
        </w:tc>
      </w:tr>
      <w:tr>
        <w:trPr>
          <w:cantSplit/>
        </w:trPr>
        <w:tc>
          <w:tcPr>
            <w:tcW w:type="dxa" w:w="165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2. Analyse métier</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Business Analyst / Chef de projet</w:t>
            </w:r>
          </w:p>
        </w:tc>
        <w:tc>
          <w:tcPr>
            <w:tcW w:type="dxa" w:w="368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Décrire les processus, les règles, les rôles, les exceptions et les questions ouvertes ; repérer les contradictions.</w:t>
            </w:r>
          </w:p>
        </w:tc>
        <w:tc>
          <w:tcPr>
            <w:tcW w:type="dxa" w:w="2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Cahier des charges fonctionnel et registre des décisions.</w:t>
            </w:r>
          </w:p>
        </w:tc>
      </w:tr>
      <w:tr>
        <w:trPr>
          <w:cantSplit/>
        </w:trPr>
        <w:tc>
          <w:tcPr>
            <w:tcW w:type="dxa" w:w="16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3. Validation</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Direction / personnes habilitées</w:t>
            </w:r>
          </w:p>
        </w:tc>
        <w:tc>
          <w:tcPr>
            <w:tcW w:type="dxa" w:w="368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Confirmer les règles, les taux, les frais, les plafonds, les seuils, les responsabilités et le périmètre.</w:t>
            </w:r>
          </w:p>
        </w:tc>
        <w:tc>
          <w:tcPr>
            <w:tcW w:type="dxa" w:w="2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Spécifications fonctionnelles validées.</w:t>
            </w:r>
          </w:p>
        </w:tc>
      </w:tr>
      <w:tr>
        <w:trPr>
          <w:cantSplit/>
        </w:trPr>
        <w:tc>
          <w:tcPr>
            <w:tcW w:type="dxa" w:w="165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4. Conception et développement</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Architecte logiciel / développeurs</w:t>
            </w:r>
          </w:p>
        </w:tc>
        <w:tc>
          <w:tcPr>
            <w:tcW w:type="dxa" w:w="368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Concevoir les données, API, interfaces, contrôles d’accès, calculs, journalisation et tests techniques.</w:t>
            </w:r>
          </w:p>
        </w:tc>
        <w:tc>
          <w:tcPr>
            <w:tcW w:type="dxa" w:w="2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Conception technique et application développée.</w:t>
            </w:r>
          </w:p>
        </w:tc>
      </w:tr>
      <w:tr>
        <w:trPr>
          <w:cantSplit/>
        </w:trPr>
        <w:tc>
          <w:tcPr>
            <w:tcW w:type="dxa" w:w="165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5. Recette</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Direction, agents et équipe technique</w:t>
            </w:r>
          </w:p>
        </w:tc>
        <w:tc>
          <w:tcPr>
            <w:tcW w:type="dxa" w:w="368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Exécuter les scénarios de test, vérifier les résultats et relever les écarts.</w:t>
            </w:r>
          </w:p>
        </w:tc>
        <w:tc>
          <w:tcPr>
            <w:tcW w:type="dxa" w:w="2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Résultats de recette et liste d’anomalies.</w:t>
            </w:r>
          </w:p>
        </w:tc>
      </w:tr>
      <w:tr>
        <w:trPr>
          <w:cantSplit/>
        </w:trPr>
        <w:tc>
          <w:tcPr>
            <w:tcW w:type="dxa" w:w="165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6. Mise en production</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Direction et équipe technique</w:t>
            </w:r>
          </w:p>
        </w:tc>
        <w:tc>
          <w:tcPr>
            <w:tcW w:type="dxa" w:w="368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Valider la préparation, les sauvegardes, les accès, la formation et le plan de support.</w:t>
            </w:r>
          </w:p>
        </w:tc>
        <w:tc>
          <w:tcPr>
            <w:tcW w:type="dxa" w:w="2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Autorisation de mise en production.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Règle de gouvernance</w:t>
            </w:r>
          </w:p>
          <w:p>
            <w:pPr>
              <w:spacing w:after="0" w:line="280" w:lineRule="auto"/>
            </w:pPr>
            <w:r>
              <w:rPr>
                <w:rFonts w:ascii="Arial" w:cs="Arial" w:eastAsia="Arial" w:hAnsi="Arial"/>
                <w:color w:val="26303B"/>
                <w:sz w:val="19"/>
                <w:szCs w:val="19"/>
              </w:rPr>
              <w:t xml:space="preserve">Les développeurs peuvent proposer des options techniques, mais ils ne doivent pas inventer les taux d’intérêt, les pénalités, les plafonds, les frais ou les conditions d’éligibilité. Toute règle financière ambiguë doit être soumise à la direction et documentée avant son implémentation.</w:t>
            </w:r>
          </w:p>
        </w:tc>
      </w:tr>
    </w:tbl>
    <w:p>
      <w:pPr>
        <w:keepNext/>
        <w:spacing w:after="100" w:before="260"/>
        <w:outlineLvl w:val="1"/>
      </w:pPr>
      <w:r>
        <w:rPr>
          <w:rFonts w:ascii="Arial" w:cs="Arial" w:eastAsia="Arial" w:hAnsi="Arial"/>
          <w:b/>
          <w:bCs/>
          <w:color w:val="1A2028"/>
          <w:sz w:val="23"/>
          <w:szCs w:val="23"/>
        </w:rPr>
        <w:t xml:space="preserve">Documents à produire</w:t>
      </w:r>
    </w:p>
    <w:p>
      <w:pPr>
        <w:pStyle w:val="ListParagraph"/>
        <w:numPr>
          <w:ilvl w:val="0"/>
          <w:numId w:val="2"/>
        </w:numPr>
        <w:spacing w:after="70" w:line="280" w:lineRule="auto"/>
      </w:pPr>
      <w:r>
        <w:rPr>
          <w:rFonts w:ascii="Arial" w:cs="Arial" w:eastAsia="Arial" w:hAnsi="Arial"/>
          <w:b/>
          <w:bCs/>
          <w:color w:val="26303B"/>
          <w:sz w:val="20"/>
          <w:szCs w:val="20"/>
        </w:rPr>
        <w:t xml:space="preserve">Cahier des charges fonctionnel : </w:t>
      </w:r>
      <w:r>
        <w:rPr>
          <w:rFonts w:ascii="Arial" w:cs="Arial" w:eastAsia="Arial" w:hAnsi="Arial"/>
          <w:color w:val="26303B"/>
          <w:sz w:val="20"/>
          <w:szCs w:val="20"/>
        </w:rPr>
        <w:t xml:space="preserve">besoins, périmètre, utilisateurs et règles métier.</w:t>
      </w:r>
    </w:p>
    <w:p>
      <w:pPr>
        <w:pStyle w:val="ListParagraph"/>
        <w:numPr>
          <w:ilvl w:val="0"/>
          <w:numId w:val="2"/>
        </w:numPr>
        <w:spacing w:after="70" w:line="280" w:lineRule="auto"/>
      </w:pPr>
      <w:r>
        <w:rPr>
          <w:rFonts w:ascii="Arial" w:cs="Arial" w:eastAsia="Arial" w:hAnsi="Arial"/>
          <w:b/>
          <w:bCs/>
          <w:color w:val="26303B"/>
          <w:sz w:val="20"/>
          <w:szCs w:val="20"/>
        </w:rPr>
        <w:t xml:space="preserve">Spécifications fonctionnelles détaillées : </w:t>
      </w:r>
      <w:r>
        <w:rPr>
          <w:rFonts w:ascii="Arial" w:cs="Arial" w:eastAsia="Arial" w:hAnsi="Arial"/>
          <w:color w:val="26303B"/>
          <w:sz w:val="20"/>
          <w:szCs w:val="20"/>
        </w:rPr>
        <w:t xml:space="preserve">scénarios, calculs, exceptions et critères d’acceptation.</w:t>
      </w:r>
    </w:p>
    <w:p>
      <w:pPr>
        <w:pStyle w:val="ListParagraph"/>
        <w:numPr>
          <w:ilvl w:val="0"/>
          <w:numId w:val="2"/>
        </w:numPr>
        <w:spacing w:after="70" w:line="280" w:lineRule="auto"/>
      </w:pPr>
      <w:r>
        <w:rPr>
          <w:rFonts w:ascii="Arial" w:cs="Arial" w:eastAsia="Arial" w:hAnsi="Arial"/>
          <w:b/>
          <w:bCs/>
          <w:color w:val="26303B"/>
          <w:sz w:val="20"/>
          <w:szCs w:val="20"/>
        </w:rPr>
        <w:t xml:space="preserve">Document de conception technique : </w:t>
      </w:r>
      <w:r>
        <w:rPr>
          <w:rFonts w:ascii="Arial" w:cs="Arial" w:eastAsia="Arial" w:hAnsi="Arial"/>
          <w:color w:val="26303B"/>
          <w:sz w:val="20"/>
          <w:szCs w:val="20"/>
        </w:rPr>
        <w:t xml:space="preserve">architecture, base de données, API, sécurité et intégrations.</w:t>
      </w:r>
    </w:p>
    <w:p>
      <w:pPr>
        <w:pStyle w:val="ListParagraph"/>
        <w:numPr>
          <w:ilvl w:val="0"/>
          <w:numId w:val="2"/>
        </w:numPr>
        <w:spacing w:after="70" w:line="280" w:lineRule="auto"/>
      </w:pPr>
      <w:r>
        <w:rPr>
          <w:rFonts w:ascii="Arial" w:cs="Arial" w:eastAsia="Arial" w:hAnsi="Arial"/>
          <w:b/>
          <w:bCs/>
          <w:color w:val="26303B"/>
          <w:sz w:val="20"/>
          <w:szCs w:val="20"/>
        </w:rPr>
        <w:t xml:space="preserve">Manuel utilisateur et procédures : </w:t>
      </w:r>
      <w:r>
        <w:rPr>
          <w:rFonts w:ascii="Arial" w:cs="Arial" w:eastAsia="Arial" w:hAnsi="Arial"/>
          <w:color w:val="26303B"/>
          <w:sz w:val="20"/>
          <w:szCs w:val="20"/>
        </w:rPr>
        <w:t xml:space="preserve">instructions de travail pour les agents, l’administration et les membres.</w:t>
      </w:r>
    </w:p>
    <w:p>
      <w:pPr>
        <w:keepNext/>
        <w:pBdr>
          <w:bottom w:val="single" w:color="0B4C98" w:sz="6" w:space="4"/>
        </w:pBdr>
        <w:spacing w:after="160" w:before="360"/>
        <w:outlineLvl w:val="0"/>
      </w:pPr>
      <w:r>
        <w:rPr>
          <w:rFonts w:ascii="Arial" w:cs="Arial" w:eastAsia="Arial" w:hAnsi="Arial"/>
          <w:b/>
          <w:bCs/>
          <w:color w:val="0B4C98"/>
          <w:sz w:val="30"/>
          <w:szCs w:val="30"/>
        </w:rPr>
        <w:t xml:space="preserve">2. Utilisateurs, rôles et autorisations</w:t>
      </w:r>
    </w:p>
    <w:p>
      <w:pPr>
        <w:spacing w:after="120" w:line="288" w:lineRule="auto"/>
      </w:pPr>
      <w:r>
        <w:rPr>
          <w:rFonts w:ascii="Arial" w:cs="Arial" w:eastAsia="Arial" w:hAnsi="Arial"/>
          <w:color w:val="26303B"/>
          <w:sz w:val="20"/>
          <w:szCs w:val="20"/>
        </w:rPr>
        <w:t xml:space="preserve">Le dossier source définit trois rôles : Admin, Agent et Membre. Les droits ci-dessous reprennent le principe décrit dans le dossier ; les permissions détaillées devront être confirmées avant le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738"/>
      </w:tblGrid>
      <w:tr>
        <w:trPr>
          <w:cantSplit/>
          <w:tblHeader/>
        </w:trPr>
        <w:tc>
          <w:tcPr>
            <w:tcW w:type="dxa" w:w="14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Rôle</w:t>
            </w:r>
          </w:p>
        </w:tc>
        <w:tc>
          <w:tcPr>
            <w:tcW w:type="dxa" w:w="35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Mission décrite dans le dossier</w:t>
            </w:r>
          </w:p>
        </w:tc>
        <w:tc>
          <w:tcPr>
            <w:tcW w:type="dxa" w:w="47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Droits indiqués dans le dossier</w:t>
            </w:r>
          </w:p>
        </w:tc>
      </w:tr>
      <w:tr>
        <w:trPr>
          <w:cantSplit/>
        </w:trPr>
        <w:tc>
          <w:tcPr>
            <w:tcW w:type="dxa" w:w="1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Admin</w:t>
            </w:r>
          </w:p>
        </w:tc>
        <w:tc>
          <w:tcPr>
            <w:tcW w:type="dxa" w:w="3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Direction de la coopérative.</w:t>
            </w:r>
          </w:p>
        </w:tc>
        <w:tc>
          <w:tcPr>
            <w:tcW w:type="dxa" w:w="47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Vue complète, validation des opérations importantes, gestion des utilisateurs et paramètres.</w:t>
            </w:r>
          </w:p>
        </w:tc>
      </w:tr>
      <w:tr>
        <w:trPr>
          <w:cantSplit/>
        </w:trPr>
        <w:tc>
          <w:tcPr>
            <w:tcW w:type="dxa" w:w="1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Agent</w:t>
            </w:r>
          </w:p>
        </w:tc>
        <w:tc>
          <w:tcPr>
            <w:tcW w:type="dxa" w:w="35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Deux agents de la coopérative ; travail quotidien.</w:t>
            </w:r>
          </w:p>
        </w:tc>
        <w:tc>
          <w:tcPr>
            <w:tcW w:type="dxa" w:w="47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Enregistrer dépôts, retraits, dossiers de crédit et remboursements ; instruire les crédits.</w:t>
            </w:r>
          </w:p>
        </w:tc>
      </w:tr>
      <w:tr>
        <w:trPr>
          <w:cantSplit/>
        </w:trPr>
        <w:tc>
          <w:tcPr>
            <w:tcW w:type="dxa" w:w="1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Membre</w:t>
            </w:r>
          </w:p>
        </w:tc>
        <w:tc>
          <w:tcPr>
            <w:tcW w:type="dxa" w:w="3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Épargnant / emprunteur.</w:t>
            </w:r>
          </w:p>
        </w:tc>
        <w:tc>
          <w:tcPr>
            <w:tcW w:type="dxa" w:w="47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Consulter son propre profil, ses comptes, ses opérations et ses crédits.</w:t>
            </w:r>
          </w:p>
        </w:tc>
      </w:tr>
    </w:tbl>
    <w:p>
      <w:pPr>
        <w:keepNext/>
        <w:spacing w:after="100" w:before="260"/>
        <w:outlineLvl w:val="1"/>
      </w:pPr>
      <w:r>
        <w:rPr>
          <w:rFonts w:ascii="Arial" w:cs="Arial" w:eastAsia="Arial" w:hAnsi="Arial"/>
          <w:b/>
          <w:bCs/>
          <w:color w:val="1A2028"/>
          <w:sz w:val="23"/>
          <w:szCs w:val="23"/>
        </w:rPr>
        <w:t xml:space="preserve">Matrice fonctionnelle simplifiée du dossier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cantSplit/>
          <w:tblHeader/>
        </w:trPr>
        <w:tc>
          <w:tcPr>
            <w:tcW w:type="dxa" w:w="36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Module</w:t>
            </w:r>
          </w:p>
        </w:tc>
        <w:tc>
          <w:tcPr>
            <w:tcW w:type="dxa" w:w="2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Admin</w:t>
            </w:r>
          </w:p>
        </w:tc>
        <w:tc>
          <w:tcPr>
            <w:tcW w:type="dxa" w:w="2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Agent</w:t>
            </w:r>
          </w:p>
        </w:tc>
        <w:tc>
          <w:tcPr>
            <w:tcW w:type="dxa" w:w="2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Membre</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Tableau de bord</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Complet</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Son activité</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Son résumé</w:t>
            </w:r>
          </w:p>
        </w:tc>
      </w:tr>
      <w:tr>
        <w:trPr>
          <w:cantSplit/>
        </w:trPr>
        <w:tc>
          <w:tcPr>
            <w:tcW w:type="dxa" w:w="3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Membres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Tout</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 créer, modifier</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Son profil</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Comptes d’épargne</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Ses comptes</w:t>
            </w:r>
          </w:p>
        </w:tc>
      </w:tr>
      <w:tr>
        <w:trPr>
          <w:cantSplit/>
        </w:trPr>
        <w:tc>
          <w:tcPr>
            <w:tcW w:type="dxa" w:w="3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Dépôts et cotisations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 valider</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Enregistrer</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Les siens</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Retraits</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Valider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Enregistrer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Les siens</w:t>
            </w:r>
          </w:p>
        </w:tc>
      </w:tr>
      <w:tr>
        <w:trPr>
          <w:cantSplit/>
        </w:trPr>
        <w:tc>
          <w:tcPr>
            <w:tcW w:type="dxa" w:w="3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Crédits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Valider</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Enregistrer, instruire</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Les siens</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Remboursements</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Enregistrer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Les siens</w:t>
            </w:r>
          </w:p>
        </w:tc>
      </w:tr>
      <w:tr>
        <w:trPr>
          <w:cantSplit/>
        </w:trPr>
        <w:tc>
          <w:tcPr>
            <w:tcW w:type="dxa" w:w="3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Caisse et comptabilité</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Tout</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Assemblées, communication, documents</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Tout</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r>
      <w:tr>
        <w:trPr>
          <w:cantSplit/>
        </w:trPr>
        <w:tc>
          <w:tcPr>
            <w:tcW w:type="dxa" w:w="3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Rapports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Tout</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Limité</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Utilisateurs et rôles</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Tout</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r>
      <w:tr>
        <w:trPr>
          <w:cantSplit/>
        </w:trPr>
        <w:tc>
          <w:tcPr>
            <w:tcW w:type="dxa" w:w="3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Journal d’activité</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Voir</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r>
      <w:tr>
        <w:trPr>
          <w:cantSplit/>
        </w:trPr>
        <w:tc>
          <w:tcPr>
            <w:tcW w:type="dxa" w:w="3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Paramètres</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Tout</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Non</w:t>
            </w:r>
          </w:p>
        </w:tc>
      </w:tr>
    </w:tbl>
    <w:p>
      <w:pPr>
        <w:keepNext/>
        <w:spacing w:after="100" w:before="260"/>
        <w:outlineLvl w:val="1"/>
      </w:pPr>
      <w:r>
        <w:rPr>
          <w:rFonts w:ascii="Arial" w:cs="Arial" w:eastAsia="Arial" w:hAnsi="Arial"/>
          <w:b/>
          <w:bCs/>
          <w:color w:val="1A2028"/>
          <w:sz w:val="23"/>
          <w:szCs w:val="23"/>
        </w:rPr>
        <w:t xml:space="preserve">Contrôles de sécurité explicitement prévus</w:t>
      </w:r>
    </w:p>
    <w:p>
      <w:pPr>
        <w:pStyle w:val="ListParagraph"/>
        <w:numPr>
          <w:ilvl w:val="0"/>
          <w:numId w:val="2"/>
        </w:numPr>
        <w:spacing w:after="70" w:line="280" w:lineRule="auto"/>
      </w:pPr>
      <w:r>
        <w:rPr>
          <w:rFonts w:ascii="Arial" w:cs="Arial" w:eastAsia="Arial" w:hAnsi="Arial"/>
          <w:color w:val="26303B"/>
          <w:sz w:val="20"/>
          <w:szCs w:val="20"/>
        </w:rPr>
        <w:t xml:space="preserve">Un agent ne valide jamais sa propre opération : l’autre agent ou l’Admin doit la valider.</w:t>
      </w:r>
    </w:p>
    <w:p>
      <w:pPr>
        <w:pStyle w:val="ListParagraph"/>
        <w:numPr>
          <w:ilvl w:val="0"/>
          <w:numId w:val="2"/>
        </w:numPr>
        <w:spacing w:after="70" w:line="280" w:lineRule="auto"/>
      </w:pPr>
      <w:r>
        <w:rPr>
          <w:rFonts w:ascii="Arial" w:cs="Arial" w:eastAsia="Arial" w:hAnsi="Arial"/>
          <w:color w:val="26303B"/>
          <w:sz w:val="20"/>
          <w:szCs w:val="20"/>
        </w:rPr>
        <w:t xml:space="preserve">Les retraits et crédits dépassant un seuil défini par la coopérative nécessitent la validation de l’Admin.</w:t>
      </w:r>
    </w:p>
    <w:p>
      <w:pPr>
        <w:pStyle w:val="ListParagraph"/>
        <w:numPr>
          <w:ilvl w:val="0"/>
          <w:numId w:val="2"/>
        </w:numPr>
        <w:spacing w:after="70" w:line="280" w:lineRule="auto"/>
      </w:pPr>
      <w:r>
        <w:rPr>
          <w:rFonts w:ascii="Arial" w:cs="Arial" w:eastAsia="Arial" w:hAnsi="Arial"/>
          <w:color w:val="26303B"/>
          <w:sz w:val="20"/>
          <w:szCs w:val="20"/>
        </w:rPr>
        <w:t xml:space="preserve">Les actions doivent être tracées dans un journal d’activité non modifiable par les utilisateurs ordinaires.</w:t>
      </w:r>
    </w:p>
    <w:p>
      <w:pPr>
        <w:pStyle w:val="ListParagraph"/>
        <w:numPr>
          <w:ilvl w:val="0"/>
          <w:numId w:val="2"/>
        </w:numPr>
        <w:spacing w:after="70" w:line="280" w:lineRule="auto"/>
      </w:pPr>
      <w:r>
        <w:rPr>
          <w:rFonts w:ascii="Arial" w:cs="Arial" w:eastAsia="Arial" w:hAnsi="Arial"/>
          <w:color w:val="26303B"/>
          <w:sz w:val="20"/>
          <w:szCs w:val="20"/>
        </w:rPr>
        <w:t xml:space="preserve">Des rôles supplémentaires pourront être ajoutés si la coopérative sépare les postes (trésorier, caissier, agent de crédit).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À confirmer</w:t>
            </w:r>
          </w:p>
          <w:p>
            <w:pPr>
              <w:spacing w:after="0" w:line="280" w:lineRule="auto"/>
            </w:pPr>
            <w:r>
              <w:rPr>
                <w:rFonts w:ascii="Arial" w:cs="Arial" w:eastAsia="Arial" w:hAnsi="Arial"/>
                <w:color w:val="26303B"/>
                <w:sz w:val="19"/>
                <w:szCs w:val="19"/>
              </w:rPr>
              <w:t xml:space="preserve">Seuil de validation des retraits : __________________ ; seuil de validation des crédits : __________________ ; procédure en cas d’indisponibilité du valideur : __________________.</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Recommandations complémentaires</w:t>
            </w:r>
          </w:p>
          <w:p>
            <w:pPr>
              <w:spacing w:after="0" w:line="280" w:lineRule="auto"/>
            </w:pPr>
            <w:r>
              <w:rPr>
                <w:rFonts w:ascii="Arial" w:cs="Arial" w:eastAsia="Arial" w:hAnsi="Arial"/>
                <w:color w:val="26303B"/>
                <w:sz w:val="19"/>
                <w:szCs w:val="19"/>
              </w:rPr>
              <w:t xml:space="preserve">Préciser qui peut annuler ou corriger une opération, qui gère les comptes bloqués, quelles actions exigent une double validation et comment sont traitées les erreurs de caisse.</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3. Fonctionnement de l’épargne</w:t>
      </w:r>
    </w:p>
    <w:p>
      <w:pPr>
        <w:keepNext/>
        <w:spacing w:after="100" w:before="260"/>
        <w:outlineLvl w:val="1"/>
      </w:pPr>
      <w:r>
        <w:rPr>
          <w:rFonts w:ascii="Arial" w:cs="Arial" w:eastAsia="Arial" w:hAnsi="Arial"/>
          <w:b/>
          <w:bCs/>
          <w:color w:val="1A2028"/>
          <w:sz w:val="23"/>
          <w:szCs w:val="23"/>
        </w:rPr>
        <w:t xml:space="preserve">3.1 Compte Épargne Principal</w:t>
      </w:r>
    </w:p>
    <w:p>
      <w:pPr>
        <w:pStyle w:val="ListParagraph"/>
        <w:numPr>
          <w:ilvl w:val="0"/>
          <w:numId w:val="2"/>
        </w:numPr>
        <w:spacing w:after="70" w:line="280" w:lineRule="auto"/>
      </w:pPr>
      <w:r>
        <w:rPr>
          <w:rFonts w:ascii="Arial" w:cs="Arial" w:eastAsia="Arial" w:hAnsi="Arial"/>
          <w:color w:val="26303B"/>
          <w:sz w:val="20"/>
          <w:szCs w:val="20"/>
        </w:rPr>
        <w:t xml:space="preserve">Le membre peut effectuer des dépôts et des retraits au guichet, selon les procédures de la coopérative.</w:t>
      </w:r>
    </w:p>
    <w:p>
      <w:pPr>
        <w:pStyle w:val="ListParagraph"/>
        <w:numPr>
          <w:ilvl w:val="0"/>
          <w:numId w:val="2"/>
        </w:numPr>
        <w:spacing w:after="70" w:line="280" w:lineRule="auto"/>
      </w:pPr>
      <w:r>
        <w:rPr>
          <w:rFonts w:ascii="Arial" w:cs="Arial" w:eastAsia="Arial" w:hAnsi="Arial"/>
          <w:color w:val="26303B"/>
          <w:sz w:val="20"/>
          <w:szCs w:val="20"/>
        </w:rPr>
        <w:t xml:space="preserve">Le Compte Épargne Principal est présenté comme le compte central du membre.</w:t>
      </w:r>
    </w:p>
    <w:p>
      <w:pPr>
        <w:pStyle w:val="ListParagraph"/>
        <w:numPr>
          <w:ilvl w:val="0"/>
          <w:numId w:val="2"/>
        </w:numPr>
        <w:spacing w:after="70" w:line="280" w:lineRule="auto"/>
      </w:pPr>
      <w:r>
        <w:rPr>
          <w:rFonts w:ascii="Arial" w:cs="Arial" w:eastAsia="Arial" w:hAnsi="Arial"/>
          <w:color w:val="26303B"/>
          <w:sz w:val="20"/>
          <w:szCs w:val="20"/>
        </w:rPr>
        <w:t xml:space="preserve">Le capital et les intérêts d’un DAT arrivé à échéance sont versés sur le Compte Épargne Principal.</w:t>
      </w:r>
    </w:p>
    <w:p>
      <w:pPr>
        <w:pStyle w:val="ListParagraph"/>
        <w:numPr>
          <w:ilvl w:val="0"/>
          <w:numId w:val="2"/>
        </w:numPr>
        <w:spacing w:after="70" w:line="280" w:lineRule="auto"/>
      </w:pPr>
      <w:r>
        <w:rPr>
          <w:rFonts w:ascii="Arial" w:cs="Arial" w:eastAsia="Arial" w:hAnsi="Arial"/>
          <w:color w:val="26303B"/>
          <w:sz w:val="20"/>
          <w:szCs w:val="20"/>
        </w:rPr>
        <w:t xml:space="preserve">Le compte peut servir au remboursement automatique d’un crédit si la direction autorise cette règle et si le membre a donné son accord selon les modalités retenues.</w:t>
      </w:r>
    </w:p>
    <w:p>
      <w:pPr>
        <w:keepNext/>
        <w:spacing w:after="100" w:before="260"/>
        <w:outlineLvl w:val="1"/>
      </w:pPr>
      <w:r>
        <w:rPr>
          <w:rFonts w:ascii="Arial" w:cs="Arial" w:eastAsia="Arial" w:hAnsi="Arial"/>
          <w:b/>
          <w:bCs/>
          <w:color w:val="1A2028"/>
          <w:sz w:val="23"/>
          <w:szCs w:val="23"/>
        </w:rPr>
        <w:t xml:space="preserve">3.2 Dépôt à Terme (DAT)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trPr>
        <w:tc>
          <w:tcPr>
            <w:tcW w:type="dxa" w:w="2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Durée indiquée</w:t>
            </w:r>
          </w:p>
        </w:tc>
        <w:tc>
          <w:tcPr>
            <w:tcW w:type="dxa" w:w="2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Base de durée du dossier</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Calcul décrit</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1 mois</w:t>
            </w:r>
          </w:p>
        </w:tc>
        <w:tc>
          <w:tcPr>
            <w:tcW w:type="dxa" w:w="2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31 jours</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 prorata des jours, taux de la période.</w:t>
            </w:r>
          </w:p>
        </w:tc>
      </w:tr>
      <w:tr>
        <w:trPr>
          <w:cantSplit/>
        </w:trPr>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3 mois</w:t>
            </w:r>
          </w:p>
        </w:tc>
        <w:tc>
          <w:tcPr>
            <w:tcW w:type="dxa" w:w="2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93 jours</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 prorata des jours, taux de la période.</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6 mois</w:t>
            </w:r>
          </w:p>
        </w:tc>
        <w:tc>
          <w:tcPr>
            <w:tcW w:type="dxa" w:w="2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186 jours</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 prorata des jours, taux de la période.</w:t>
            </w:r>
          </w:p>
        </w:tc>
      </w:tr>
      <w:tr>
        <w:trPr>
          <w:cantSplit/>
        </w:trPr>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12 mois</w:t>
            </w:r>
          </w:p>
        </w:tc>
        <w:tc>
          <w:tcPr>
            <w:tcW w:type="dxa" w:w="2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365 jours</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Paliers de montant : taux plus bas pour les gros montants.</w:t>
            </w:r>
          </w:p>
        </w:tc>
      </w:tr>
    </w:tbl>
    <w:p>
      <w:pPr>
        <w:spacing w:after="140"/>
      </w:pPr>
    </w:p>
    <w:p>
      <w:pPr>
        <w:spacing w:after="120" w:line="288" w:lineRule="auto"/>
      </w:pPr>
      <w:r>
        <w:rPr>
          <w:rFonts w:ascii="Arial" w:cs="Arial" w:eastAsia="Arial" w:hAnsi="Arial"/>
          <w:color w:val="26303B"/>
          <w:sz w:val="20"/>
          <w:szCs w:val="20"/>
        </w:rPr>
        <w:t xml:space="preserve">Formule présente dans le dossier pour les DAT de 1, 3 et 6 mois : </w:t>
      </w:r>
      <w:r>
        <w:rPr>
          <w:rFonts w:ascii="Arial" w:cs="Arial" w:eastAsia="Arial" w:hAnsi="Arial"/>
          <w:b/>
          <w:bCs/>
          <w:color w:val="26303B"/>
          <w:sz w:val="20"/>
          <w:szCs w:val="20"/>
        </w:rPr>
        <w:t xml:space="preserve">Gain = Capital × (Taux de la période ÷ Durée en jours) × Jours réels.</w:t>
      </w:r>
    </w:p>
    <w:p>
      <w:pPr>
        <w:spacing w:after="120" w:line="288" w:lineRule="auto"/>
      </w:pPr>
      <w:r>
        <w:rPr>
          <w:rFonts w:ascii="Arial" w:cs="Arial" w:eastAsia="Arial" w:hAnsi="Arial"/>
          <w:color w:val="26303B"/>
          <w:sz w:val="20"/>
          <w:szCs w:val="20"/>
        </w:rPr>
        <w:t xml:space="preserve">Exemple du dossier, avec taux illustratif : 1 000 $ placés un mois à un taux de période de 2 % rapportent 20 $ si le placement va jusqu’au terme.</w:t>
      </w:r>
    </w:p>
    <w:p>
      <w:pPr>
        <w:spacing w:after="120" w:line="288" w:lineRule="auto"/>
      </w:pPr>
      <w:r>
        <w:rPr>
          <w:rFonts w:ascii="Arial" w:cs="Arial" w:eastAsia="Arial" w:hAnsi="Arial"/>
          <w:color w:val="26303B"/>
          <w:sz w:val="20"/>
          <w:szCs w:val="20"/>
        </w:rPr>
        <w:t xml:space="preserve">Le dossier indique également que le retrait anticipé peut entraîner une pénalité et que la direction doit en choisir la règle. Une réserve de caisse de 20 à 30 % est envisagée, mais ce niveau n’est pas encore une décision confirmée.</w:t>
      </w:r>
    </w:p>
    <w:p>
      <w:pPr>
        <w:keepNext/>
        <w:spacing w:after="100" w:before="260"/>
        <w:outlineLvl w:val="1"/>
      </w:pPr>
      <w:r>
        <w:rPr>
          <w:rFonts w:ascii="Arial" w:cs="Arial" w:eastAsia="Arial" w:hAnsi="Arial"/>
          <w:b/>
          <w:bCs/>
          <w:color w:val="1A2028"/>
          <w:sz w:val="23"/>
          <w:szCs w:val="23"/>
        </w:rPr>
        <w:t xml:space="preserve">Décisions à compléter par la direction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438"/>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54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Question</w:t>
            </w:r>
          </w:p>
        </w:tc>
        <w:tc>
          <w:tcPr>
            <w:tcW w:type="dxa" w:w="34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Décision / réponse</w:t>
            </w:r>
          </w:p>
        </w:tc>
      </w:tr>
      <w:tr>
        <w:trPr>
          <w:cantSplit/>
          <w:trHeight w:val="52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E1</w:t>
            </w:r>
          </w:p>
        </w:tc>
        <w:tc>
          <w:tcPr>
            <w:tcW w:type="dxa" w:w="5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Retrait anticipé : perte de tous les intérêts, perte partielle (pourcentage à préciser) ou retrait interdit ?</w:t>
            </w:r>
          </w:p>
        </w:tc>
        <w:tc>
          <w:tcPr>
            <w:tcW w:type="dxa" w:w="3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52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E2</w:t>
            </w:r>
          </w:p>
        </w:tc>
        <w:tc>
          <w:tcPr>
            <w:tcW w:type="dxa" w:w="5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DAT 12 mois : le taux du palier s’applique-t-il à tout le dépôt ou à chaque tranche ?</w:t>
            </w:r>
          </w:p>
        </w:tc>
        <w:tc>
          <w:tcPr>
            <w:tcW w:type="dxa" w:w="3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52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E3</w:t>
            </w:r>
          </w:p>
        </w:tc>
        <w:tc>
          <w:tcPr>
            <w:tcW w:type="dxa" w:w="5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Taux des DAT 1, 3, 6 et 12 mois ; bornes des paliers et taux associés.</w:t>
            </w:r>
          </w:p>
        </w:tc>
        <w:tc>
          <w:tcPr>
            <w:tcW w:type="dxa" w:w="3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Tableau à joindre</w:t>
            </w:r>
          </w:p>
        </w:tc>
      </w:tr>
      <w:tr>
        <w:trPr>
          <w:cantSplit/>
          <w:trHeight w:val="52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E4</w:t>
            </w:r>
          </w:p>
        </w:tc>
        <w:tc>
          <w:tcPr>
            <w:tcW w:type="dxa" w:w="5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Montant minimum d’ouverture d’un DAT.</w:t>
            </w:r>
          </w:p>
        </w:tc>
        <w:tc>
          <w:tcPr>
            <w:tcW w:type="dxa" w:w="3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52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E5</w:t>
            </w:r>
          </w:p>
        </w:tc>
        <w:tc>
          <w:tcPr>
            <w:tcW w:type="dxa" w:w="5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À l’échéance : versement au compte principal seulement ou possibilité de renouvellement ?</w:t>
            </w:r>
          </w:p>
        </w:tc>
        <w:tc>
          <w:tcPr>
            <w:tcW w:type="dxa" w:w="3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52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E6</w:t>
            </w:r>
          </w:p>
        </w:tc>
        <w:tc>
          <w:tcPr>
            <w:tcW w:type="dxa" w:w="5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Les DAT garantissent-ils uniquement le prêt du même membre ou financent-ils les prêts en général ?</w:t>
            </w:r>
          </w:p>
        </w:tc>
        <w:tc>
          <w:tcPr>
            <w:tcW w:type="dxa" w:w="3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52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E7</w:t>
            </w:r>
          </w:p>
        </w:tc>
        <w:tc>
          <w:tcPr>
            <w:tcW w:type="dxa" w:w="5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Pourcentage cible de réserve de caisse.</w:t>
            </w:r>
          </w:p>
        </w:tc>
        <w:tc>
          <w:tcPr>
            <w:tcW w:type="dxa" w:w="3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________ %</w:t>
            </w:r>
          </w:p>
        </w:tc>
      </w:tr>
      <w:tr>
        <w:trPr>
          <w:cantSplit/>
          <w:trHeight w:val="52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E8</w:t>
            </w:r>
          </w:p>
        </w:tc>
        <w:tc>
          <w:tcPr>
            <w:tcW w:type="dxa" w:w="5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Monnaie des comptes : dollars, francs congolais ou les deux ?</w:t>
            </w:r>
          </w:p>
        </w:tc>
        <w:tc>
          <w:tcPr>
            <w:tcW w:type="dxa" w:w="34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52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E9</w:t>
            </w:r>
          </w:p>
        </w:tc>
        <w:tc>
          <w:tcPr>
            <w:tcW w:type="dxa" w:w="5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Que change le profil de confiance pour le membre ?</w:t>
            </w:r>
          </w:p>
        </w:tc>
        <w:tc>
          <w:tcPr>
            <w:tcW w:type="dxa" w:w="34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Précisions techniques à valider</w:t>
            </w:r>
          </w:p>
          <w:p>
            <w:pPr>
              <w:spacing w:after="0" w:line="280" w:lineRule="auto"/>
            </w:pPr>
            <w:r>
              <w:rPr>
                <w:rFonts w:ascii="Arial" w:cs="Arial" w:eastAsia="Arial" w:hAnsi="Arial"/>
                <w:color w:val="26303B"/>
                <w:sz w:val="19"/>
                <w:szCs w:val="19"/>
              </w:rPr>
              <w:t xml:space="preserve">Convention de jours, date exacte de valeur, arrondis, traitement des jours fériés, blocage des fonds, renouvellement automatique ou sur demande, et gestion des opérations corrigées.</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4. Fonctionnement des crédits</w:t>
      </w:r>
    </w:p>
    <w:p>
      <w:pPr>
        <w:spacing w:after="120" w:line="288" w:lineRule="auto"/>
      </w:pPr>
      <w:r>
        <w:rPr>
          <w:rFonts w:ascii="Arial" w:cs="Arial" w:eastAsia="Arial" w:hAnsi="Arial"/>
          <w:color w:val="26303B"/>
          <w:sz w:val="20"/>
          <w:szCs w:val="20"/>
        </w:rPr>
        <w:t xml:space="preserve">Le dossier présente trois produits de crédit. Les paramètres ci-dessous sont reproduits comme des informations du dossier source et ne sont pas déclarés comme validés. Ils doivent être confirmés par la direction avant leur programmation.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cantSplit/>
          <w:tblHeader/>
        </w:trPr>
        <w:tc>
          <w:tcPr>
            <w:tcW w:type="dxa" w:w="17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Paramètre</w:t>
            </w:r>
          </w:p>
        </w:tc>
        <w:tc>
          <w:tcPr>
            <w:tcW w:type="dxa" w:w="2646"/>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BIASHARA</w:t>
            </w:r>
          </w:p>
        </w:tc>
        <w:tc>
          <w:tcPr>
            <w:tcW w:type="dxa" w:w="2646"/>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KELASI</w:t>
            </w:r>
          </w:p>
        </w:tc>
        <w:tc>
          <w:tcPr>
            <w:tcW w:type="dxa" w:w="2646"/>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NYUMBA</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Objet</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Commerce des petits commerçants</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Frais d’études</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Logement et construction</w:t>
            </w:r>
          </w:p>
        </w:tc>
      </w:tr>
      <w:tr>
        <w:trPr>
          <w:cantSplit/>
        </w:trPr>
        <w:tc>
          <w:tcPr>
            <w:tcW w:type="dxa" w:w="1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Frais d’ouverture</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10 $ à la création (modalité à confirmer)</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10 $ à chaque année scolaire dans le tableau ; autre pourcentage mentionné dans l’historique</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10 $ à la création</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Durée</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Contrat de 6 mois ; cycle d’un mois</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Une année scolaire de 9 mois / 3 trimestres</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Variable selon la demande</w:t>
            </w:r>
          </w:p>
        </w:tc>
      </w:tr>
      <w:tr>
        <w:trPr>
          <w:cantSplit/>
        </w:trPr>
        <w:tc>
          <w:tcPr>
            <w:tcW w:type="dxa" w:w="1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Intérêt indiqué</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15 % par cycle</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30 % par trimestre</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30 % sur le capital accordé</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Remboursement indiqué</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Chaque semaine, 4 tranches égales</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Chaque semaine</w:t>
            </w:r>
          </w:p>
        </w:tc>
        <w:tc>
          <w:tcPr>
            <w:tcW w:type="dxa" w:w="2646"/>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Chaque semaine</w:t>
            </w:r>
          </w:p>
        </w:tc>
      </w:tr>
      <w:tr>
        <w:trPr>
          <w:cantSplit/>
        </w:trPr>
        <w:tc>
          <w:tcPr>
            <w:tcW w:type="dxa" w:w="1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Pénalité indiquée</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2 % par jour</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5 % par semaine</w:t>
            </w:r>
          </w:p>
        </w:tc>
        <w:tc>
          <w:tcPr>
            <w:tcW w:type="dxa" w:w="2646"/>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5 % par semaine</w:t>
            </w:r>
          </w:p>
        </w:tc>
      </w:tr>
    </w:tbl>
    <w:p>
      <w:pPr>
        <w:keepNext/>
        <w:spacing w:after="100" w:before="260"/>
        <w:outlineLvl w:val="1"/>
      </w:pPr>
      <w:r>
        <w:rPr>
          <w:rFonts w:ascii="Arial" w:cs="Arial" w:eastAsia="Arial" w:hAnsi="Arial"/>
          <w:b/>
          <w:bCs/>
          <w:color w:val="1A2028"/>
          <w:sz w:val="23"/>
          <w:szCs w:val="23"/>
        </w:rPr>
        <w:t xml:space="preserve">4.1 Décisions communes aux crédits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Décision à prendre</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Choix / réponse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C1</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Prélèvement automatique sur le Compte Principal en cas de tranche impayée ?</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Oui / Non ; accord du membre à définir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C2</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Limite maximale des pénalités de retard ?</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30 % du capital / 50 % / aucune limite / autre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C3</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Délai de grâce avant la première pénalité ?</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Aucun / 48 heures / autre</w:t>
            </w:r>
          </w:p>
        </w:tc>
      </w:tr>
    </w:tbl>
    <w:p>
      <w:pPr>
        <w:keepNext/>
        <w:spacing w:after="100" w:before="260"/>
        <w:outlineLvl w:val="1"/>
      </w:pPr>
      <w:r>
        <w:rPr>
          <w:rFonts w:ascii="Arial" w:cs="Arial" w:eastAsia="Arial" w:hAnsi="Arial"/>
          <w:b/>
          <w:bCs/>
          <w:color w:val="1A2028"/>
          <w:sz w:val="23"/>
          <w:szCs w:val="23"/>
        </w:rPr>
        <w:t xml:space="preserve">4.2 Décisions propres à BIASHARA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Décision à prendre</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Choix / réponse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B1</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Durée du cycle.</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4 semaines (28 jours) / 30 jours</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B2</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Fréquence des frais de 10 $.</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Une fois par contrat de 6 mois / à chaque nouveau prêt</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B3</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Plafond du premier prêt.</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50 $ / 100 $ / autre : ______</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B4</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Augmentation du plafond au cycle suivant si remboursement sans retard.</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+50 % / +100 % / autre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B5</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Plafond maximal qu’un membre ne peut jamais dépasser.</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________ $</w:t>
            </w:r>
          </w:p>
        </w:tc>
      </w:tr>
    </w:tbl>
    <w:p>
      <w:pPr>
        <w:keepNext/>
        <w:spacing w:after="100" w:before="260"/>
        <w:outlineLvl w:val="1"/>
      </w:pPr>
      <w:r>
        <w:rPr>
          <w:rFonts w:ascii="Arial" w:cs="Arial" w:eastAsia="Arial" w:hAnsi="Arial"/>
          <w:b/>
          <w:bCs/>
          <w:color w:val="1A2028"/>
          <w:sz w:val="23"/>
          <w:szCs w:val="23"/>
        </w:rPr>
        <w:t xml:space="preserve">4.3 Décisions propres à KELASI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Décision à prendre</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Choix / réponse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K1</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Frais d’ouverture.</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10 $ fixes / 10 % du prêt</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K2</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Organisation des prêts.</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 prêt par trimestre (3 par an) / un prêt pour toute l’année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K3</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Nombre de semaines pour un trimestre.</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12 / 13 semaines</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K4</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Destinataire du versement.</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Parent / directement à l’école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K5</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Plafond d’emprunt par trimestre et mode de calcul.</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________ $ ; par élève / par famille</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K6</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Évolution du plafond à l’année suivante.</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Augmentation de ______ % / reste identique</w:t>
            </w:r>
          </w:p>
        </w:tc>
      </w:tr>
    </w:tbl>
    <w:p>
      <w:pPr>
        <w:keepNext/>
        <w:spacing w:after="100" w:before="260"/>
        <w:outlineLvl w:val="1"/>
      </w:pPr>
      <w:r>
        <w:rPr>
          <w:rFonts w:ascii="Arial" w:cs="Arial" w:eastAsia="Arial" w:hAnsi="Arial"/>
          <w:b/>
          <w:bCs/>
          <w:color w:val="1A2028"/>
          <w:sz w:val="23"/>
          <w:szCs w:val="23"/>
        </w:rPr>
        <w:t xml:space="preserve">4.4 Décisions propres à NYUMBA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Décision à prendre</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Choix / réponse</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N1</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Le taux de 30 % est-il identique quelle que soit la durée ?</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Oui / non ; fournir le tableau des taux si nécessaire</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N2</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Garantie demandée.</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Titre de propriété, parcelle, autre : __________</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N3</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Destinataire du versement.</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Membre / fournisseur de matériaux</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N4</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Plafond d’emprunt et durée maximale.</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________ $ ; ________ mois</w:t>
            </w:r>
          </w:p>
        </w:tc>
      </w:tr>
    </w:tbl>
    <w:p>
      <w:pPr>
        <w:keepNext/>
        <w:spacing w:after="100" w:before="260"/>
        <w:outlineLvl w:val="1"/>
      </w:pPr>
      <w:r>
        <w:rPr>
          <w:rFonts w:ascii="Arial" w:cs="Arial" w:eastAsia="Arial" w:hAnsi="Arial"/>
          <w:b/>
          <w:bCs/>
          <w:color w:val="1A2028"/>
          <w:sz w:val="23"/>
          <w:szCs w:val="23"/>
        </w:rPr>
        <w:t xml:space="preserve">4.5 Clarifications financières prioritaires</w:t>
      </w:r>
    </w:p>
    <w:p>
      <w:pPr>
        <w:pStyle w:val="ListParagraph"/>
        <w:numPr>
          <w:ilvl w:val="0"/>
          <w:numId w:val="2"/>
        </w:numPr>
        <w:spacing w:after="70" w:line="280" w:lineRule="auto"/>
      </w:pPr>
      <w:r>
        <w:rPr>
          <w:rFonts w:ascii="Arial" w:cs="Arial" w:eastAsia="Arial" w:hAnsi="Arial"/>
          <w:color w:val="26303B"/>
          <w:sz w:val="20"/>
          <w:szCs w:val="20"/>
        </w:rPr>
        <w:t xml:space="preserve">Définir si les taux sont appliqués au capital initial, au solde restant dû ou à une autre base.</w:t>
      </w:r>
    </w:p>
    <w:p>
      <w:pPr>
        <w:pStyle w:val="ListParagraph"/>
        <w:numPr>
          <w:ilvl w:val="0"/>
          <w:numId w:val="2"/>
        </w:numPr>
        <w:spacing w:after="70" w:line="280" w:lineRule="auto"/>
      </w:pPr>
      <w:r>
        <w:rPr>
          <w:rFonts w:ascii="Arial" w:cs="Arial" w:eastAsia="Arial" w:hAnsi="Arial"/>
          <w:color w:val="26303B"/>
          <w:sz w:val="20"/>
          <w:szCs w:val="20"/>
        </w:rPr>
        <w:t xml:space="preserve">Définir la périodicité exacte du calcul des intérêts et les dates de début et de fin de chaque période.</w:t>
      </w:r>
    </w:p>
    <w:p>
      <w:pPr>
        <w:pStyle w:val="ListParagraph"/>
        <w:numPr>
          <w:ilvl w:val="0"/>
          <w:numId w:val="2"/>
        </w:numPr>
        <w:spacing w:after="70" w:line="280" w:lineRule="auto"/>
      </w:pPr>
      <w:r>
        <w:rPr>
          <w:rFonts w:ascii="Arial" w:cs="Arial" w:eastAsia="Arial" w:hAnsi="Arial"/>
          <w:color w:val="26303B"/>
          <w:sz w:val="20"/>
          <w:szCs w:val="20"/>
        </w:rPr>
        <w:t xml:space="preserve">Définir le mode de calcul des pénalités, leur assiette, leur plafond et le moment où elles commencent.</w:t>
      </w:r>
    </w:p>
    <w:p>
      <w:pPr>
        <w:pStyle w:val="ListParagraph"/>
        <w:numPr>
          <w:ilvl w:val="0"/>
          <w:numId w:val="2"/>
        </w:numPr>
        <w:spacing w:after="70" w:line="280" w:lineRule="auto"/>
      </w:pPr>
      <w:r>
        <w:rPr>
          <w:rFonts w:ascii="Arial" w:cs="Arial" w:eastAsia="Arial" w:hAnsi="Arial"/>
          <w:color w:val="26303B"/>
          <w:sz w:val="20"/>
          <w:szCs w:val="20"/>
        </w:rPr>
        <w:t xml:space="preserve">Définir l’ordre d’affectation d’un paiement : pénalités, frais, intérêts ou capital.</w:t>
      </w:r>
    </w:p>
    <w:p>
      <w:pPr>
        <w:pStyle w:val="ListParagraph"/>
        <w:numPr>
          <w:ilvl w:val="0"/>
          <w:numId w:val="2"/>
        </w:numPr>
        <w:spacing w:after="70" w:line="280" w:lineRule="auto"/>
      </w:pPr>
      <w:r>
        <w:rPr>
          <w:rFonts w:ascii="Arial" w:cs="Arial" w:eastAsia="Arial" w:hAnsi="Arial"/>
          <w:color w:val="26303B"/>
          <w:sz w:val="20"/>
          <w:szCs w:val="20"/>
        </w:rPr>
        <w:t xml:space="preserve">Définir les conséquences d’un remboursement anticipé, d’un impayé partiel ou d’un défaut prolongé.</w:t>
      </w:r>
    </w:p>
    <w:p>
      <w:pPr>
        <w:pStyle w:val="ListParagraph"/>
        <w:numPr>
          <w:ilvl w:val="0"/>
          <w:numId w:val="2"/>
        </w:numPr>
        <w:spacing w:after="70" w:line="280" w:lineRule="auto"/>
      </w:pPr>
      <w:r>
        <w:rPr>
          <w:rFonts w:ascii="Arial" w:cs="Arial" w:eastAsia="Arial" w:hAnsi="Arial"/>
          <w:color w:val="26303B"/>
          <w:sz w:val="20"/>
          <w:szCs w:val="20"/>
        </w:rPr>
        <w:t xml:space="preserve">Faire vérifier les règles et les taux par les responsables compétents avant de les mettre en production.</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Exemple de contrôle obligatoire</w:t>
            </w:r>
          </w:p>
          <w:p>
            <w:pPr>
              <w:spacing w:after="0" w:line="280" w:lineRule="auto"/>
            </w:pPr>
            <w:r>
              <w:rPr>
                <w:rFonts w:ascii="Arial" w:cs="Arial" w:eastAsia="Arial" w:hAnsi="Arial"/>
                <w:color w:val="26303B"/>
                <w:sz w:val="19"/>
                <w:szCs w:val="19"/>
              </w:rPr>
              <w:t xml:space="preserve">Pour chaque produit, fournir un échéancier complet à partir d’un montant fictif validé pour les tests, avec capital, intérêts, frais, dates, paiements, retards et solde restant dû. Les résultats attendus doivent être approuvés par la direction.</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5. Assurance Santé</w:t>
      </w:r>
    </w:p>
    <w:p>
      <w:pPr>
        <w:spacing w:after="120" w:line="288" w:lineRule="auto"/>
      </w:pPr>
      <w:r>
        <w:rPr>
          <w:rFonts w:ascii="Arial" w:cs="Arial" w:eastAsia="Arial" w:hAnsi="Arial"/>
          <w:color w:val="26303B"/>
          <w:sz w:val="20"/>
          <w:szCs w:val="20"/>
        </w:rPr>
        <w:t xml:space="preserve">Le dossier décrit un partenariat avec des hôpitaux partenaires, dans lequel la coopérative règle directement les soins pour le compte du membre (tiers payant) et peut percevoir une commission négociée avec l’hôpital. Le document source signale que le terme « assurance » peut être réglementé et suggère de faire vérifier le modèle par un juriste ou d’envisager le nom « prise en charge santé ».</w:t>
      </w:r>
    </w:p>
    <w:p>
      <w:pPr>
        <w:keepNext/>
        <w:spacing w:after="100" w:before="260"/>
        <w:outlineLvl w:val="1"/>
      </w:pPr>
      <w:r>
        <w:rPr>
          <w:rFonts w:ascii="Arial" w:cs="Arial" w:eastAsia="Arial" w:hAnsi="Arial"/>
          <w:b/>
          <w:bCs/>
          <w:color w:val="1A2028"/>
          <w:sz w:val="23"/>
          <w:szCs w:val="23"/>
        </w:rPr>
        <w:t xml:space="preserve">Décisions et précisions nécessaires</w:t>
      </w:r>
    </w:p>
    <w:p>
      <w:pPr>
        <w:pStyle w:val="ListParagraph"/>
        <w:numPr>
          <w:ilvl w:val="0"/>
          <w:numId w:val="2"/>
        </w:numPr>
        <w:spacing w:after="70" w:line="280" w:lineRule="auto"/>
      </w:pPr>
      <w:r>
        <w:rPr>
          <w:rFonts w:ascii="Arial" w:cs="Arial" w:eastAsia="Arial" w:hAnsi="Arial"/>
          <w:color w:val="26303B"/>
          <w:sz w:val="20"/>
          <w:szCs w:val="20"/>
        </w:rPr>
        <w:t xml:space="preserve">Déterminer si le membre paie une cotisation régulière avant les soins ou si la coopérative avance les frais et le membre rembourse ensuite.</w:t>
      </w:r>
    </w:p>
    <w:p>
      <w:pPr>
        <w:pStyle w:val="ListParagraph"/>
        <w:numPr>
          <w:ilvl w:val="0"/>
          <w:numId w:val="2"/>
        </w:numPr>
        <w:spacing w:after="70" w:line="280" w:lineRule="auto"/>
      </w:pPr>
      <w:r>
        <w:rPr>
          <w:rFonts w:ascii="Arial" w:cs="Arial" w:eastAsia="Arial" w:hAnsi="Arial"/>
          <w:color w:val="26303B"/>
          <w:sz w:val="20"/>
          <w:szCs w:val="20"/>
        </w:rPr>
        <w:t xml:space="preserve">Définir les personnes éligibles, les soins couverts, les exclusions, les plafonds par soin et les délais d’attente.</w:t>
      </w:r>
    </w:p>
    <w:p>
      <w:pPr>
        <w:pStyle w:val="ListParagraph"/>
        <w:numPr>
          <w:ilvl w:val="0"/>
          <w:numId w:val="2"/>
        </w:numPr>
        <w:spacing w:after="70" w:line="280" w:lineRule="auto"/>
      </w:pPr>
      <w:r>
        <w:rPr>
          <w:rFonts w:ascii="Arial" w:cs="Arial" w:eastAsia="Arial" w:hAnsi="Arial"/>
          <w:color w:val="26303B"/>
          <w:sz w:val="20"/>
          <w:szCs w:val="20"/>
        </w:rPr>
        <w:t xml:space="preserve">Identifier les hôpitaux partenaires et documenter les conventions ainsi que les commissions convenues.</w:t>
      </w:r>
    </w:p>
    <w:p>
      <w:pPr>
        <w:pStyle w:val="ListParagraph"/>
        <w:numPr>
          <w:ilvl w:val="0"/>
          <w:numId w:val="2"/>
        </w:numPr>
        <w:spacing w:after="70" w:line="280" w:lineRule="auto"/>
      </w:pPr>
      <w:r>
        <w:rPr>
          <w:rFonts w:ascii="Arial" w:cs="Arial" w:eastAsia="Arial" w:hAnsi="Arial"/>
          <w:color w:val="26303B"/>
          <w:sz w:val="20"/>
          <w:szCs w:val="20"/>
        </w:rPr>
        <w:t xml:space="preserve">Décrire la vérification de l’éligibilité, l’autorisation des soins, la réception des factures, le paiement et la gestion des réclamations.</w:t>
      </w:r>
    </w:p>
    <w:p>
      <w:pPr>
        <w:pStyle w:val="ListParagraph"/>
        <w:numPr>
          <w:ilvl w:val="0"/>
          <w:numId w:val="2"/>
        </w:numPr>
        <w:spacing w:after="70" w:line="280" w:lineRule="auto"/>
      </w:pPr>
      <w:r>
        <w:rPr>
          <w:rFonts w:ascii="Arial" w:cs="Arial" w:eastAsia="Arial" w:hAnsi="Arial"/>
          <w:color w:val="26303B"/>
          <w:sz w:val="20"/>
          <w:szCs w:val="20"/>
        </w:rPr>
        <w:t xml:space="preserve">Préciser les données de santé collectées, les personnes autorisées à les consulter et les mesures de confidentialité.</w:t>
      </w:r>
    </w:p>
    <w:p>
      <w:pPr>
        <w:keepNext/>
        <w:spacing w:after="100" w:before="260"/>
        <w:outlineLvl w:val="1"/>
      </w:pPr>
      <w:r>
        <w:rPr>
          <w:rFonts w:ascii="Arial" w:cs="Arial" w:eastAsia="Arial" w:hAnsi="Arial"/>
          <w:b/>
          <w:bCs/>
          <w:color w:val="1A2028"/>
          <w:sz w:val="23"/>
          <w:szCs w:val="23"/>
        </w:rPr>
        <w:t xml:space="preserve">Fiche de décision — Assurance Santé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Question</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Réponse de la direction</w:t>
            </w:r>
          </w:p>
        </w:tc>
      </w:tr>
      <w:tr>
        <w:trPr>
          <w:cantSplit/>
          <w:trHeight w:val="48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S1</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Cotisation régulière ou avance de frais remboursable ?</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48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S2</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Soins couverts, plafonds et délai d’attente.</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Document à joindre</w:t>
            </w:r>
          </w:p>
        </w:tc>
      </w:tr>
      <w:tr>
        <w:trPr>
          <w:cantSplit/>
          <w:trHeight w:val="48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S3</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Hôpitaux partenaires et commission.</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Liste / convention à joindre</w:t>
            </w:r>
          </w:p>
        </w:tc>
      </w:tr>
      <w:tr>
        <w:trPr>
          <w:cantSplit/>
          <w:trHeight w:val="48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S4</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Nom commercial et vérification juridique du modèle.</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6. SAFARI — transport et déplacements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38"/>
        <w:gridCol w:w="3600"/>
      </w:tblGrid>
      <w:tr>
        <w:trPr>
          <w:cantSplit/>
          <w:tblHeader/>
        </w:trPr>
        <w:tc>
          <w:tcPr>
            <w:tcW w:type="dxa" w:w="17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Branche</w:t>
            </w:r>
          </w:p>
        </w:tc>
        <w:tc>
          <w:tcPr>
            <w:tcW w:type="dxa" w:w="43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Fonctionnement mentionné dans le dossier</w:t>
            </w:r>
          </w:p>
        </w:tc>
        <w:tc>
          <w:tcPr>
            <w:tcW w:type="dxa" w:w="36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À préciser</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Taxi</w:t>
            </w:r>
          </w:p>
        </w:tc>
        <w:tc>
          <w:tcPr>
            <w:tcW w:type="dxa" w:w="43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Réservation auprès d’une agence ou entreprise partenaire ; signalement au moins 7 jours à l’avance ; paiement total ou caution avant le voyage.</w:t>
            </w:r>
          </w:p>
        </w:tc>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Conditions d’annulation, justificatifs, remboursements, disponibilité et responsabilité.</w:t>
            </w:r>
          </w:p>
        </w:tc>
      </w:tr>
      <w:tr>
        <w:trPr>
          <w:cantSplit/>
        </w:trPr>
        <w:tc>
          <w:tcPr>
            <w:tcW w:type="dxa" w:w="1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Commande voiture</w:t>
            </w:r>
          </w:p>
        </w:tc>
        <w:tc>
          <w:tcPr>
            <w:tcW w:type="dxa" w:w="43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Mise à disposition et réservation de véhicules ; règles non définies.</w:t>
            </w:r>
          </w:p>
        </w:tc>
        <w:tc>
          <w:tcPr>
            <w:tcW w:type="dxa" w:w="36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Réservation, durée, prix, chauffeur, caution, annulation et incidents.</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Déplacement</w:t>
            </w:r>
          </w:p>
        </w:tc>
        <w:tc>
          <w:tcPr>
            <w:tcW w:type="dxa" w:w="43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Organisation de voyages interurbains et grands trajets ; règles non définies.</w:t>
            </w:r>
          </w:p>
        </w:tc>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Itinéraire, tarif, partenaires, horaires, modification et remboursement.</w:t>
            </w:r>
          </w:p>
        </w:tc>
      </w:tr>
    </w:tbl>
    <w:p>
      <w:pPr>
        <w:keepNext/>
        <w:spacing w:after="100" w:before="260"/>
        <w:outlineLvl w:val="1"/>
      </w:pPr>
      <w:r>
        <w:rPr>
          <w:rFonts w:ascii="Arial" w:cs="Arial" w:eastAsia="Arial" w:hAnsi="Arial"/>
          <w:b/>
          <w:bCs/>
          <w:color w:val="1A2028"/>
          <w:sz w:val="23"/>
          <w:szCs w:val="23"/>
        </w:rPr>
        <w:t xml:space="preserve">Décisions SAFARI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Réf.</w:t>
            </w:r>
          </w:p>
        </w:tc>
        <w:tc>
          <w:tcPr>
            <w:tcW w:type="dxa" w:w="48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Question</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Réponse</w:t>
            </w:r>
          </w:p>
        </w:tc>
      </w:tr>
      <w:tr>
        <w:trPr>
          <w:cantSplit/>
          <w:trHeight w:val="48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SA1</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Revenu de la coopérative : commission du partenaire ou marge sur le prix membre ?</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48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SA2</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Caution en cas d’annulation : remboursement total, partiel ou non-remboursement ?</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480" w:hRule="atLeas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SA3</w:t>
            </w:r>
          </w:p>
        </w:tc>
        <w:tc>
          <w:tcPr>
            <w:tcW w:type="dxa" w:w="48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Paiement depuis le Compte Principal ou en espèces au guichet ?</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480" w:hRule="atLeas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SA4</w:t>
            </w:r>
          </w:p>
        </w:tc>
        <w:tc>
          <w:tcPr>
            <w:tcW w:type="dxa" w:w="48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Règles des branches Commande voiture et Déplacement.</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Procédures à joindre</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7. Produit MUTOTO</w:t>
      </w:r>
    </w:p>
    <w:p>
      <w:pPr>
        <w:spacing w:after="120" w:line="288" w:lineRule="auto"/>
      </w:pPr>
      <w:r>
        <w:rPr>
          <w:rFonts w:ascii="Arial" w:cs="Arial" w:eastAsia="Arial" w:hAnsi="Arial"/>
          <w:color w:val="26303B"/>
          <w:sz w:val="20"/>
          <w:szCs w:val="20"/>
        </w:rPr>
        <w:t xml:space="preserve">Le dossier source demande de confirmer si le compte MUTOTO (avenir des enfants) est maintenu ou abandonné. Si le produit est maintenu, sa fiche de fonctionnement doit être fournie avant de définir les écrans, les opérations et les règles de 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Décision</w:t>
            </w:r>
          </w:p>
          <w:p>
            <w:pPr>
              <w:spacing w:after="80"/>
            </w:pPr>
            <w:r>
              <w:rPr>
                <w:rFonts w:ascii="Segoe UI Symbol" w:cs="Segoe UI Symbol" w:eastAsia="Segoe UI Symbol" w:hAnsi="Segoe UI Symbol"/>
                <w:color w:val="0B4C98"/>
                <w:sz w:val="22"/>
                <w:szCs w:val="22"/>
              </w:rPr>
              <w:t xml:space="preserve">☐  </w:t>
            </w:r>
            <w:r>
              <w:rPr>
                <w:rFonts w:ascii="Arial" w:cs="Arial" w:eastAsia="Arial" w:hAnsi="Arial"/>
                <w:color w:val="26303B"/>
                <w:sz w:val="19"/>
                <w:szCs w:val="19"/>
              </w:rPr>
              <w:t xml:space="preserve">Maintenir MUTOTO et fournir une fiche de fonctionnement</w:t>
            </w:r>
          </w:p>
          <w:p>
            <w:pPr>
              <w:spacing w:after="0"/>
            </w:pPr>
            <w:r>
              <w:rPr>
                <w:rFonts w:ascii="Segoe UI Symbol" w:cs="Segoe UI Symbol" w:eastAsia="Segoe UI Symbol" w:hAnsi="Segoe UI Symbol"/>
                <w:color w:val="0B4C98"/>
                <w:sz w:val="22"/>
                <w:szCs w:val="22"/>
              </w:rPr>
              <w:t xml:space="preserve">☐  </w:t>
            </w:r>
            <w:r>
              <w:rPr>
                <w:rFonts w:ascii="Arial" w:cs="Arial" w:eastAsia="Arial" w:hAnsi="Arial"/>
                <w:color w:val="26303B"/>
                <w:sz w:val="19"/>
                <w:szCs w:val="19"/>
              </w:rPr>
              <w:t xml:space="preserve">Abandonner MUTOTO</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8. Processus opérationnels à formaliser</w:t>
      </w:r>
    </w:p>
    <w:p>
      <w:pPr>
        <w:spacing w:after="120" w:line="288" w:lineRule="auto"/>
      </w:pPr>
      <w:r>
        <w:rPr>
          <w:rFonts w:ascii="Arial" w:cs="Arial" w:eastAsia="Arial" w:hAnsi="Arial"/>
          <w:color w:val="26303B"/>
          <w:sz w:val="20"/>
          <w:szCs w:val="20"/>
        </w:rPr>
        <w:t xml:space="preserve">Les séquences ci-dessous sont des propositions de formalisation destinées à être validées par la coopérative. Elles ne remplacent pas ses procédures officielles.</w:t>
      </w:r>
    </w:p>
    <w:p>
      <w:pPr>
        <w:keepNext/>
        <w:spacing w:after="100" w:before="260"/>
        <w:outlineLvl w:val="1"/>
      </w:pPr>
      <w:r>
        <w:rPr>
          <w:rFonts w:ascii="Arial" w:cs="Arial" w:eastAsia="Arial" w:hAnsi="Arial"/>
          <w:b/>
          <w:bCs/>
          <w:color w:val="1A2028"/>
          <w:sz w:val="23"/>
          <w:szCs w:val="23"/>
        </w:rPr>
        <w:t xml:space="preserve">8.1 Dépôt au guichet — scénario proposé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4400"/>
      </w:tblGrid>
      <w:tr>
        <w:trPr>
          <w:cantSplit/>
          <w:tblHeader/>
        </w:trPr>
        <w:tc>
          <w:tcPr>
            <w:tcW w:type="dxa" w:w="7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N°</w:t>
            </w:r>
          </w:p>
        </w:tc>
        <w:tc>
          <w:tcPr>
            <w:tcW w:type="dxa" w:w="45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Étape proposée</w:t>
            </w:r>
          </w:p>
        </w:tc>
        <w:tc>
          <w:tcPr>
            <w:tcW w:type="dxa" w:w="44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Contrôle attendu</w:t>
            </w:r>
          </w:p>
        </w:tc>
      </w:tr>
      <w:tr>
        <w:trPr>
          <w:cantSplit/>
        </w:trPr>
        <w:tc>
          <w:tcPr>
            <w:tcW w:type="dxa" w:w="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jc w:val="center"/>
            </w:pPr>
            <w:r>
              <w:rPr>
                <w:rFonts w:ascii="Arial" w:cs="Arial" w:eastAsia="Arial" w:hAnsi="Arial"/>
                <w:b/>
                <w:bCs/>
                <w:color w:val="26303B"/>
                <w:sz w:val="18"/>
                <w:szCs w:val="18"/>
              </w:rPr>
              <w:t xml:space="preserve">1</w:t>
            </w:r>
          </w:p>
        </w:tc>
        <w:tc>
          <w:tcPr>
            <w:tcW w:type="dxa" w:w="45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Identifier le membre et le compte concerné.</w:t>
            </w:r>
          </w:p>
        </w:tc>
        <w:tc>
          <w:tcPr>
            <w:tcW w:type="dxa" w:w="4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Vérifier l’identité, le statut du membre et la monnaie du compte.</w:t>
            </w:r>
          </w:p>
        </w:tc>
      </w:tr>
      <w:tr>
        <w:trPr>
          <w:cantSplit/>
        </w:trPr>
        <w:tc>
          <w:tcPr>
            <w:tcW w:type="dxa" w:w="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jc w:val="center"/>
            </w:pPr>
            <w:r>
              <w:rPr>
                <w:rFonts w:ascii="Arial" w:cs="Arial" w:eastAsia="Arial" w:hAnsi="Arial"/>
                <w:b/>
                <w:bCs/>
                <w:color w:val="26303B"/>
                <w:sz w:val="18"/>
                <w:szCs w:val="18"/>
              </w:rPr>
              <w:t xml:space="preserve">2</w:t>
            </w:r>
          </w:p>
        </w:tc>
        <w:tc>
          <w:tcPr>
            <w:tcW w:type="dxa" w:w="45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Saisir le montant et le mode de paiement.</w:t>
            </w:r>
          </w:p>
        </w:tc>
        <w:tc>
          <w:tcPr>
            <w:tcW w:type="dxa" w:w="4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Contrôler les valeurs obligatoires et éviter les montants invalides.</w:t>
            </w:r>
          </w:p>
        </w:tc>
      </w:tr>
      <w:tr>
        <w:trPr>
          <w:cantSplit/>
        </w:trPr>
        <w:tc>
          <w:tcPr>
            <w:tcW w:type="dxa" w:w="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jc w:val="center"/>
            </w:pPr>
            <w:r>
              <w:rPr>
                <w:rFonts w:ascii="Arial" w:cs="Arial" w:eastAsia="Arial" w:hAnsi="Arial"/>
                <w:b/>
                <w:bCs/>
                <w:color w:val="26303B"/>
                <w:sz w:val="18"/>
                <w:szCs w:val="18"/>
              </w:rPr>
              <w:t xml:space="preserve">3</w:t>
            </w:r>
          </w:p>
        </w:tc>
        <w:tc>
          <w:tcPr>
            <w:tcW w:type="dxa" w:w="45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Enregistrer l’opération en attente de validation si la règle l’exige.</w:t>
            </w:r>
          </w:p>
        </w:tc>
        <w:tc>
          <w:tcPr>
            <w:tcW w:type="dxa" w:w="4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Conserver l’auteur, la date, le montant et une référence unique.</w:t>
            </w:r>
          </w:p>
        </w:tc>
      </w:tr>
      <w:tr>
        <w:trPr>
          <w:cantSplit/>
        </w:trPr>
        <w:tc>
          <w:tcPr>
            <w:tcW w:type="dxa" w:w="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jc w:val="center"/>
            </w:pPr>
            <w:r>
              <w:rPr>
                <w:rFonts w:ascii="Arial" w:cs="Arial" w:eastAsia="Arial" w:hAnsi="Arial"/>
                <w:b/>
                <w:bCs/>
                <w:color w:val="26303B"/>
                <w:sz w:val="18"/>
                <w:szCs w:val="18"/>
              </w:rPr>
              <w:t xml:space="preserve">4</w:t>
            </w:r>
          </w:p>
        </w:tc>
        <w:tc>
          <w:tcPr>
            <w:tcW w:type="dxa" w:w="45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Faire valider par une personne différente lorsque requis.</w:t>
            </w:r>
          </w:p>
        </w:tc>
        <w:tc>
          <w:tcPr>
            <w:tcW w:type="dxa" w:w="4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Empêcher l’auto-validation et appliquer les seuils approuvés.</w:t>
            </w:r>
          </w:p>
        </w:tc>
      </w:tr>
      <w:tr>
        <w:trPr>
          <w:cantSplit/>
        </w:trPr>
        <w:tc>
          <w:tcPr>
            <w:tcW w:type="dxa" w:w="7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jc w:val="center"/>
            </w:pPr>
            <w:r>
              <w:rPr>
                <w:rFonts w:ascii="Arial" w:cs="Arial" w:eastAsia="Arial" w:hAnsi="Arial"/>
                <w:b/>
                <w:bCs/>
                <w:color w:val="26303B"/>
                <w:sz w:val="18"/>
                <w:szCs w:val="18"/>
              </w:rPr>
              <w:t xml:space="preserve">5</w:t>
            </w:r>
          </w:p>
        </w:tc>
        <w:tc>
          <w:tcPr>
            <w:tcW w:type="dxa" w:w="45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Confirmer l’opération et générer un reçu.</w:t>
            </w:r>
          </w:p>
        </w:tc>
        <w:tc>
          <w:tcPr>
            <w:tcW w:type="dxa" w:w="44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Mettre à jour le solde uniquement selon le statut définitif prévu.</w:t>
            </w:r>
          </w:p>
        </w:tc>
      </w:tr>
      <w:tr>
        <w:trPr>
          <w:cantSplit/>
        </w:trPr>
        <w:tc>
          <w:tcPr>
            <w:tcW w:type="dxa" w:w="7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jc w:val="center"/>
            </w:pPr>
            <w:r>
              <w:rPr>
                <w:rFonts w:ascii="Arial" w:cs="Arial" w:eastAsia="Arial" w:hAnsi="Arial"/>
                <w:b/>
                <w:bCs/>
                <w:color w:val="26303B"/>
                <w:sz w:val="18"/>
                <w:szCs w:val="18"/>
              </w:rPr>
              <w:t xml:space="preserve">6</w:t>
            </w:r>
          </w:p>
        </w:tc>
        <w:tc>
          <w:tcPr>
            <w:tcW w:type="dxa" w:w="45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Journaliser et inclure dans les rapports.</w:t>
            </w:r>
          </w:p>
        </w:tc>
        <w:tc>
          <w:tcPr>
            <w:tcW w:type="dxa" w:w="44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Conserver un historique consultable et non altérable par les utilisateurs ordinaires.</w:t>
            </w:r>
          </w:p>
        </w:tc>
      </w:tr>
    </w:tbl>
    <w:p>
      <w:pPr>
        <w:keepNext/>
        <w:spacing w:after="100" w:before="260"/>
        <w:outlineLvl w:val="1"/>
      </w:pPr>
      <w:r>
        <w:rPr>
          <w:rFonts w:ascii="Arial" w:cs="Arial" w:eastAsia="Arial" w:hAnsi="Arial"/>
          <w:b/>
          <w:bCs/>
          <w:color w:val="1A2028"/>
          <w:sz w:val="23"/>
          <w:szCs w:val="23"/>
        </w:rPr>
        <w:t xml:space="preserve">8.2 Demande de crédit — scénario proposé</w:t>
      </w:r>
    </w:p>
    <w:p>
      <w:pPr>
        <w:pStyle w:val="ListParagraph"/>
        <w:numPr>
          <w:ilvl w:val="0"/>
          <w:numId w:val="2"/>
        </w:numPr>
        <w:spacing w:after="70" w:line="280" w:lineRule="auto"/>
      </w:pPr>
      <w:r>
        <w:rPr>
          <w:rFonts w:ascii="Arial" w:cs="Arial" w:eastAsia="Arial" w:hAnsi="Arial"/>
          <w:color w:val="26303B"/>
          <w:sz w:val="20"/>
          <w:szCs w:val="20"/>
        </w:rPr>
        <w:t xml:space="preserve">Créer la demande et identifier le produit BIASHARA, KELASI ou NYUMBA.</w:t>
      </w:r>
    </w:p>
    <w:p>
      <w:pPr>
        <w:pStyle w:val="ListParagraph"/>
        <w:numPr>
          <w:ilvl w:val="0"/>
          <w:numId w:val="2"/>
        </w:numPr>
        <w:spacing w:after="70" w:line="280" w:lineRule="auto"/>
      </w:pPr>
      <w:r>
        <w:rPr>
          <w:rFonts w:ascii="Arial" w:cs="Arial" w:eastAsia="Arial" w:hAnsi="Arial"/>
          <w:color w:val="26303B"/>
          <w:sz w:val="20"/>
          <w:szCs w:val="20"/>
        </w:rPr>
        <w:t xml:space="preserve">Vérifier les conditions d’éligibilité et les pièces nécessaires selon les règles validées.</w:t>
      </w:r>
    </w:p>
    <w:p>
      <w:pPr>
        <w:pStyle w:val="ListParagraph"/>
        <w:numPr>
          <w:ilvl w:val="0"/>
          <w:numId w:val="2"/>
        </w:numPr>
        <w:spacing w:after="70" w:line="280" w:lineRule="auto"/>
      </w:pPr>
      <w:r>
        <w:rPr>
          <w:rFonts w:ascii="Arial" w:cs="Arial" w:eastAsia="Arial" w:hAnsi="Arial"/>
          <w:color w:val="26303B"/>
          <w:sz w:val="20"/>
          <w:szCs w:val="20"/>
        </w:rPr>
        <w:t xml:space="preserve">Calculer une proposition d’échéancier selon les paramètres du produit.</w:t>
      </w:r>
    </w:p>
    <w:p>
      <w:pPr>
        <w:pStyle w:val="ListParagraph"/>
        <w:numPr>
          <w:ilvl w:val="0"/>
          <w:numId w:val="2"/>
        </w:numPr>
        <w:spacing w:after="70" w:line="280" w:lineRule="auto"/>
      </w:pPr>
      <w:r>
        <w:rPr>
          <w:rFonts w:ascii="Arial" w:cs="Arial" w:eastAsia="Arial" w:hAnsi="Arial"/>
          <w:color w:val="26303B"/>
          <w:sz w:val="20"/>
          <w:szCs w:val="20"/>
        </w:rPr>
        <w:t xml:space="preserve">Faire instruire et approuver la demande par les rôles habilités.</w:t>
      </w:r>
    </w:p>
    <w:p>
      <w:pPr>
        <w:pStyle w:val="ListParagraph"/>
        <w:numPr>
          <w:ilvl w:val="0"/>
          <w:numId w:val="2"/>
        </w:numPr>
        <w:spacing w:after="70" w:line="280" w:lineRule="auto"/>
      </w:pPr>
      <w:r>
        <w:rPr>
          <w:rFonts w:ascii="Arial" w:cs="Arial" w:eastAsia="Arial" w:hAnsi="Arial"/>
          <w:color w:val="26303B"/>
          <w:sz w:val="20"/>
          <w:szCs w:val="20"/>
        </w:rPr>
        <w:t xml:space="preserve">Enregistrer le contrat, les frais, le montant décaissé et la date de départ.</w:t>
      </w:r>
    </w:p>
    <w:p>
      <w:pPr>
        <w:pStyle w:val="ListParagraph"/>
        <w:numPr>
          <w:ilvl w:val="0"/>
          <w:numId w:val="2"/>
        </w:numPr>
        <w:spacing w:after="70" w:line="280" w:lineRule="auto"/>
      </w:pPr>
      <w:r>
        <w:rPr>
          <w:rFonts w:ascii="Arial" w:cs="Arial" w:eastAsia="Arial" w:hAnsi="Arial"/>
          <w:color w:val="26303B"/>
          <w:sz w:val="20"/>
          <w:szCs w:val="20"/>
        </w:rPr>
        <w:t xml:space="preserve">Suivre chaque échéance, chaque paiement, les retards et le solde restant dû.</w:t>
      </w:r>
    </w:p>
    <w:p>
      <w:pPr>
        <w:pStyle w:val="ListParagraph"/>
        <w:numPr>
          <w:ilvl w:val="0"/>
          <w:numId w:val="2"/>
        </w:numPr>
        <w:spacing w:after="70" w:line="280" w:lineRule="auto"/>
      </w:pPr>
      <w:r>
        <w:rPr>
          <w:rFonts w:ascii="Arial" w:cs="Arial" w:eastAsia="Arial" w:hAnsi="Arial"/>
          <w:color w:val="26303B"/>
          <w:sz w:val="20"/>
          <w:szCs w:val="20"/>
        </w:rPr>
        <w:t xml:space="preserve">Clôturer le crédit lorsque les montants dus sont soldés, avec un historique complet.</w:t>
      </w:r>
    </w:p>
    <w:p>
      <w:pPr>
        <w:keepNext/>
        <w:spacing w:after="100" w:before="260"/>
        <w:outlineLvl w:val="1"/>
      </w:pPr>
      <w:r>
        <w:rPr>
          <w:rFonts w:ascii="Arial" w:cs="Arial" w:eastAsia="Arial" w:hAnsi="Arial"/>
          <w:b/>
          <w:bCs/>
          <w:color w:val="1A2028"/>
          <w:sz w:val="23"/>
          <w:szCs w:val="23"/>
        </w:rPr>
        <w:t xml:space="preserve">8.3 Annulation ou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4C98" w:sz="24"/>
              <w:bottom w:val="none" w:color="FFFFFF" w:sz="0"/>
              <w:right w:val="none" w:color="FFFFFF" w:sz="0"/>
            </w:tcBorders>
            <w:shd w:fill="EAF1F8" w:color="auto" w:val="clear"/>
            <w:tcMar>
              <w:top w:type="dxa" w:w="120"/>
              <w:left w:type="dxa" w:w="200"/>
              <w:bottom w:type="dxa" w:w="120"/>
              <w:right w:type="dxa" w:w="160"/>
            </w:tcMar>
          </w:tcPr>
          <w:p>
            <w:pPr>
              <w:keepNext/>
              <w:spacing w:after="60"/>
            </w:pPr>
            <w:r>
              <w:rPr>
                <w:rFonts w:ascii="Arial" w:cs="Arial" w:eastAsia="Arial" w:hAnsi="Arial"/>
                <w:b/>
                <w:bCs/>
                <w:color w:val="0B4C98"/>
                <w:sz w:val="20"/>
                <w:szCs w:val="20"/>
              </w:rPr>
              <w:t xml:space="preserve">À définir avec la direction</w:t>
            </w:r>
          </w:p>
          <w:p>
            <w:pPr>
              <w:spacing w:after="0" w:line="280" w:lineRule="auto"/>
            </w:pPr>
            <w:r>
              <w:rPr>
                <w:rFonts w:ascii="Arial" w:cs="Arial" w:eastAsia="Arial" w:hAnsi="Arial"/>
                <w:color w:val="26303B"/>
                <w:sz w:val="19"/>
                <w:szCs w:val="19"/>
              </w:rPr>
              <w:t xml:space="preserve">Une opération financière validée ne devrait pas être supprimée silencieusement. Il convient de définir une procédure de contrepassation ou de correction avec motif, autorisation, référence à l’opération initiale et traçabilité.</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9. Sécurité, données et exploitation</w:t>
      </w:r>
    </w:p>
    <w:p>
      <w:pPr>
        <w:pStyle w:val="ListParagraph"/>
        <w:numPr>
          <w:ilvl w:val="0"/>
          <w:numId w:val="2"/>
        </w:numPr>
        <w:spacing w:after="70" w:line="280" w:lineRule="auto"/>
      </w:pPr>
      <w:r>
        <w:rPr>
          <w:rFonts w:ascii="Arial" w:cs="Arial" w:eastAsia="Arial" w:hAnsi="Arial"/>
          <w:color w:val="26303B"/>
          <w:sz w:val="20"/>
          <w:szCs w:val="20"/>
        </w:rPr>
        <w:t xml:space="preserve">Authentification sécurisée et gestion des sessions.</w:t>
      </w:r>
    </w:p>
    <w:p>
      <w:pPr>
        <w:pStyle w:val="ListParagraph"/>
        <w:numPr>
          <w:ilvl w:val="0"/>
          <w:numId w:val="2"/>
        </w:numPr>
        <w:spacing w:after="70" w:line="280" w:lineRule="auto"/>
      </w:pPr>
      <w:r>
        <w:rPr>
          <w:rFonts w:ascii="Arial" w:cs="Arial" w:eastAsia="Arial" w:hAnsi="Arial"/>
          <w:color w:val="26303B"/>
          <w:sz w:val="20"/>
          <w:szCs w:val="20"/>
        </w:rPr>
        <w:t xml:space="preserve">Permissions appliquées côté serveur, et pas uniquement masquées dans l’interface.</w:t>
      </w:r>
    </w:p>
    <w:p>
      <w:pPr>
        <w:pStyle w:val="ListParagraph"/>
        <w:numPr>
          <w:ilvl w:val="0"/>
          <w:numId w:val="2"/>
        </w:numPr>
        <w:spacing w:after="70" w:line="280" w:lineRule="auto"/>
      </w:pPr>
      <w:r>
        <w:rPr>
          <w:rFonts w:ascii="Arial" w:cs="Arial" w:eastAsia="Arial" w:hAnsi="Arial"/>
          <w:color w:val="26303B"/>
          <w:sz w:val="20"/>
          <w:szCs w:val="20"/>
        </w:rPr>
        <w:t xml:space="preserve">Journalisation des connexions et des opérations sensibles.</w:t>
      </w:r>
    </w:p>
    <w:p>
      <w:pPr>
        <w:pStyle w:val="ListParagraph"/>
        <w:numPr>
          <w:ilvl w:val="0"/>
          <w:numId w:val="2"/>
        </w:numPr>
        <w:spacing w:after="70" w:line="280" w:lineRule="auto"/>
      </w:pPr>
      <w:r>
        <w:rPr>
          <w:rFonts w:ascii="Arial" w:cs="Arial" w:eastAsia="Arial" w:hAnsi="Arial"/>
          <w:color w:val="26303B"/>
          <w:sz w:val="20"/>
          <w:szCs w:val="20"/>
        </w:rPr>
        <w:t xml:space="preserve">Sauvegardes régulières et procédure de restauration testée.</w:t>
      </w:r>
    </w:p>
    <w:p>
      <w:pPr>
        <w:pStyle w:val="ListParagraph"/>
        <w:numPr>
          <w:ilvl w:val="0"/>
          <w:numId w:val="2"/>
        </w:numPr>
        <w:spacing w:after="70" w:line="280" w:lineRule="auto"/>
      </w:pPr>
      <w:r>
        <w:rPr>
          <w:rFonts w:ascii="Arial" w:cs="Arial" w:eastAsia="Arial" w:hAnsi="Arial"/>
          <w:color w:val="26303B"/>
          <w:sz w:val="20"/>
          <w:szCs w:val="20"/>
        </w:rPr>
        <w:t xml:space="preserve">Protection des données personnelles et limitation des accès selon les missions.</w:t>
      </w:r>
    </w:p>
    <w:p>
      <w:pPr>
        <w:pStyle w:val="ListParagraph"/>
        <w:numPr>
          <w:ilvl w:val="0"/>
          <w:numId w:val="2"/>
        </w:numPr>
        <w:spacing w:after="70" w:line="280" w:lineRule="auto"/>
      </w:pPr>
      <w:r>
        <w:rPr>
          <w:rFonts w:ascii="Arial" w:cs="Arial" w:eastAsia="Arial" w:hAnsi="Arial"/>
          <w:color w:val="26303B"/>
          <w:sz w:val="20"/>
          <w:szCs w:val="20"/>
        </w:rPr>
        <w:t xml:space="preserve">Gestion des erreurs, des interruptions et des tentatives d’opérations en double.</w:t>
      </w:r>
    </w:p>
    <w:p>
      <w:pPr>
        <w:pStyle w:val="ListParagraph"/>
        <w:numPr>
          <w:ilvl w:val="0"/>
          <w:numId w:val="2"/>
        </w:numPr>
        <w:spacing w:after="70" w:line="280" w:lineRule="auto"/>
      </w:pPr>
      <w:r>
        <w:rPr>
          <w:rFonts w:ascii="Arial" w:cs="Arial" w:eastAsia="Arial" w:hAnsi="Arial"/>
          <w:color w:val="26303B"/>
          <w:sz w:val="20"/>
          <w:szCs w:val="20"/>
        </w:rPr>
        <w:t xml:space="preserve">Environnements distincts de test et de production, avec validation avant publication.</w:t>
      </w:r>
    </w:p>
    <w:p>
      <w:pPr>
        <w:keepNext/>
        <w:pBdr>
          <w:bottom w:val="single" w:color="0B4C98" w:sz="6" w:space="4"/>
        </w:pBdr>
        <w:spacing w:after="160" w:before="360"/>
        <w:outlineLvl w:val="0"/>
      </w:pPr>
      <w:r>
        <w:rPr>
          <w:rFonts w:ascii="Arial" w:cs="Arial" w:eastAsia="Arial" w:hAnsi="Arial"/>
          <w:b/>
          <w:bCs/>
          <w:color w:val="0B4C98"/>
          <w:sz w:val="30"/>
          <w:szCs w:val="30"/>
        </w:rPr>
        <w:t xml:space="preserve">10. Recette fonctionnelle : critères minimums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38"/>
        <w:gridCol w:w="4000"/>
      </w:tblGrid>
      <w:tr>
        <w:trPr>
          <w:cantSplit/>
          <w:tblHeader/>
        </w:trPr>
        <w:tc>
          <w:tcPr>
            <w:tcW w:type="dxa" w:w="15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Domaine</w:t>
            </w:r>
          </w:p>
        </w:tc>
        <w:tc>
          <w:tcPr>
            <w:tcW w:type="dxa" w:w="41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Scénario à tester</w:t>
            </w:r>
          </w:p>
        </w:tc>
        <w:tc>
          <w:tcPr>
            <w:tcW w:type="dxa" w:w="4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Résultat attendu à préciser / valider</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Rôles</w:t>
            </w:r>
          </w:p>
        </w:tc>
        <w:tc>
          <w:tcPr>
            <w:tcW w:type="dxa" w:w="41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 agent tente de valider sa propre opération.</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Opération bloquée ; motif et trace disponibles.</w:t>
            </w:r>
          </w:p>
        </w:tc>
      </w:tr>
      <w:tr>
        <w:trPr>
          <w:cantSplit/>
        </w:trPr>
        <w:tc>
          <w:tcPr>
            <w:tcW w:type="dxa" w:w="15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Seuils</w:t>
            </w:r>
          </w:p>
        </w:tc>
        <w:tc>
          <w:tcPr>
            <w:tcW w:type="dxa" w:w="41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 retrait ou crédit dépasse le seuil approuvé.</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Validation Admin demandée selon la règle retenue.</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Épargne</w:t>
            </w:r>
          </w:p>
        </w:tc>
        <w:tc>
          <w:tcPr>
            <w:tcW w:type="dxa" w:w="41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 DAT atteint son échéance.</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Capital et intérêts calculés selon les paramètres approuvés.</w:t>
            </w:r>
          </w:p>
        </w:tc>
      </w:tr>
      <w:tr>
        <w:trPr>
          <w:cantSplit/>
        </w:trPr>
        <w:tc>
          <w:tcPr>
            <w:tcW w:type="dxa" w:w="15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Crédit</w:t>
            </w:r>
          </w:p>
        </w:tc>
        <w:tc>
          <w:tcPr>
            <w:tcW w:type="dxa" w:w="41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Paiement complet d’une échéance.</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Paiement affecté correctement et solde recalculé.</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Retard</w:t>
            </w:r>
          </w:p>
        </w:tc>
        <w:tc>
          <w:tcPr>
            <w:tcW w:type="dxa" w:w="41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Une échéance n’est pas payée à temps.</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Pénalité calculée uniquement selon la règle approuvée.</w:t>
            </w:r>
          </w:p>
        </w:tc>
      </w:tr>
      <w:tr>
        <w:trPr>
          <w:cantSplit/>
        </w:trPr>
        <w:tc>
          <w:tcPr>
            <w:tcW w:type="dxa" w:w="15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Caisse</w:t>
            </w:r>
          </w:p>
        </w:tc>
        <w:tc>
          <w:tcPr>
            <w:tcW w:type="dxa" w:w="41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Clôture journalière avec un écart.</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Écart signalé et procédure de justification appliquée.</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Traçabilité</w:t>
            </w:r>
          </w:p>
        </w:tc>
        <w:tc>
          <w:tcPr>
            <w:tcW w:type="dxa" w:w="41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Un utilisateur consulte l’historique d’une opération.</w:t>
            </w:r>
          </w:p>
        </w:tc>
        <w:tc>
          <w:tcPr>
            <w:tcW w:type="dxa" w:w="4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Auteur, date, statut et corrections sont traçables.</w:t>
            </w:r>
          </w:p>
        </w:tc>
      </w:tr>
      <w:tr>
        <w:trPr>
          <w:cantSplit/>
        </w:trPr>
        <w:tc>
          <w:tcPr>
            <w:tcW w:type="dxa" w:w="15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Restauration</w:t>
            </w:r>
          </w:p>
        </w:tc>
        <w:tc>
          <w:tcPr>
            <w:tcW w:type="dxa" w:w="41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Restauration d’une sauvegarde de test.</w:t>
            </w:r>
          </w:p>
        </w:tc>
        <w:tc>
          <w:tcPr>
            <w:tcW w:type="dxa" w:w="4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Données récupérées et vérifiées selon le plan convenu.</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11. Registre des décisions à prendre</w:t>
      </w:r>
    </w:p>
    <w:p>
      <w:pPr>
        <w:spacing w:after="120" w:line="288" w:lineRule="auto"/>
      </w:pPr>
      <w:r>
        <w:rPr>
          <w:rFonts w:ascii="Arial" w:cs="Arial" w:eastAsia="Arial" w:hAnsi="Arial"/>
          <w:color w:val="26303B"/>
          <w:sz w:val="20"/>
          <w:szCs w:val="20"/>
        </w:rPr>
        <w:t xml:space="preserve">La direction peut utiliser ce registre pour suivre les décisions ouvertes. Les réponses doivent être datées et rattachées à une personne habilitée. Les choix proposés dans le document initial ne deviennent pas des règles applicables tant qu’ils n’ont pas été confirmés.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4938"/>
        <w:gridCol w:w="2000"/>
      </w:tblGrid>
      <w:tr>
        <w:trPr>
          <w:cantSplit/>
          <w:tblHeader/>
        </w:trPr>
        <w:tc>
          <w:tcPr>
            <w:tcW w:type="dxa" w:w="8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ID</w:t>
            </w:r>
          </w:p>
        </w:tc>
        <w:tc>
          <w:tcPr>
            <w:tcW w:type="dxa" w:w="19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Sujet</w:t>
            </w:r>
          </w:p>
        </w:tc>
        <w:tc>
          <w:tcPr>
            <w:tcW w:type="dxa" w:w="49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Décision / pièce attendue</w:t>
            </w:r>
          </w:p>
        </w:tc>
        <w:tc>
          <w:tcPr>
            <w:tcW w:type="dxa" w:w="2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Statut</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D01</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Rôles et seuils</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Seuils de retrait et de crédit ; suppléance du valideur.</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D02</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DAT</w:t>
            </w:r>
          </w:p>
        </w:tc>
        <w:tc>
          <w:tcPr>
            <w:tcW w:type="dxa" w:w="49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Taux, paliers, montant minimum, retrait anticipé, renouvellement.</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D03</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Réserve de caisse</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Pourcentage retenu et mode de calcul.</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D04</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Monnaies</w:t>
            </w:r>
          </w:p>
        </w:tc>
        <w:tc>
          <w:tcPr>
            <w:tcW w:type="dxa" w:w="49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USD, CDF ou les deux ; taux de change et règles de conversion si nécessaire.</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D05</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BIASHARA</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Cycle, intérêts, frais, plafond initial, augmentation et plafond maximum.</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D06</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KELASI</w:t>
            </w:r>
          </w:p>
        </w:tc>
        <w:tc>
          <w:tcPr>
            <w:tcW w:type="dxa" w:w="49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Frais, nombre de prêts, calendrier, plafond et bénéficiaire du versement.</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D07</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NYUMBA</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Taux selon durée, garanties, bénéficiaire, plafond et durée maximale.</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D08</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Pénalités</w:t>
            </w:r>
          </w:p>
        </w:tc>
        <w:tc>
          <w:tcPr>
            <w:tcW w:type="dxa" w:w="49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Assiette, délai de grâce, plafond, ordre d’affectation des paiements.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D09</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Assurance Santé</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Financement, couverture, plafonds, hôpitaux, commissions et cadre juridique.</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D10</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SAFARI</w:t>
            </w:r>
          </w:p>
        </w:tc>
        <w:tc>
          <w:tcPr>
            <w:tcW w:type="dxa" w:w="49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Revenus, annulations, cautions, paiements et règles des branches non détaillées.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D11</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MUTOTO</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Maintien ou abandon ; fiche de fonctionnement si maintien.</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D12</w:t>
            </w:r>
          </w:p>
        </w:tc>
        <w:tc>
          <w:tcPr>
            <w:tcW w:type="dxa" w:w="19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Comptabilité</w:t>
            </w:r>
          </w:p>
        </w:tc>
        <w:tc>
          <w:tcPr>
            <w:tcW w:type="dxa" w:w="49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Plan comptable, clôture, rapprochement et traitement des corrections.</w:t>
            </w:r>
          </w:p>
        </w:tc>
        <w:tc>
          <w:tcPr>
            <w:tcW w:type="dxa" w:w="2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r>
        <w:trPr>
          <w:cantSplit/>
        </w:trPr>
        <w:tc>
          <w:tcPr>
            <w:tcW w:type="dxa" w:w="8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D13</w:t>
            </w:r>
          </w:p>
        </w:tc>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Recette</w:t>
            </w:r>
          </w:p>
        </w:tc>
        <w:tc>
          <w:tcPr>
            <w:tcW w:type="dxa" w:w="49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Scénarios, données de test et responsables de validation.</w:t>
            </w:r>
          </w:p>
        </w:tc>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9A5B00"/>
                <w:sz w:val="18"/>
                <w:szCs w:val="18"/>
              </w:rPr>
              <w:t xml:space="preserve">À confirmer</w:t>
            </w:r>
          </w:p>
        </w:tc>
      </w:tr>
    </w:tbl>
    <w:p>
      <w:pPr>
        <w:keepNext/>
        <w:pBdr>
          <w:bottom w:val="single" w:color="0B4C98" w:sz="6" w:space="4"/>
        </w:pBdr>
        <w:spacing w:after="160" w:before="360"/>
        <w:outlineLvl w:val="0"/>
      </w:pPr>
      <w:r>
        <w:rPr>
          <w:rFonts w:ascii="Arial" w:cs="Arial" w:eastAsia="Arial" w:hAnsi="Arial"/>
          <w:b/>
          <w:bCs/>
          <w:color w:val="0B4C98"/>
          <w:sz w:val="30"/>
          <w:szCs w:val="30"/>
        </w:rPr>
        <w:t xml:space="preserve">12. Validation de la direction</w:t>
      </w:r>
    </w:p>
    <w:p>
      <w:pPr>
        <w:spacing w:after="120" w:line="288" w:lineRule="auto"/>
      </w:pPr>
      <w:r>
        <w:rPr>
          <w:rFonts w:ascii="Arial" w:cs="Arial" w:eastAsia="Arial" w:hAnsi="Arial"/>
          <w:color w:val="26303B"/>
          <w:sz w:val="20"/>
          <w:szCs w:val="20"/>
        </w:rPr>
        <w:t xml:space="preserve">La signature confirme que les règles et décisions cochées ou annexées ont été examinées. Les points laissés ouverts restent exclus du périmètre définitif jusqu’à clarification écrite.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Champ</w:t>
            </w:r>
          </w:p>
        </w:tc>
        <w:tc>
          <w:tcPr>
            <w:tcW w:type="dxa" w:w="6638"/>
            <w:tcBorders>
              <w:top w:val="single" w:color="C9D3DD" w:sz="4"/>
              <w:left w:val="single" w:color="C9D3DD" w:sz="4"/>
              <w:bottom w:val="single" w:color="C9D3DD" w:sz="4"/>
              <w:right w:val="single" w:color="C9D3DD" w:sz="4"/>
            </w:tcBorders>
            <w:shd w:fill="0B4C98"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FFFFFF"/>
                <w:sz w:val="18"/>
                <w:szCs w:val="18"/>
              </w:rPr>
              <w:t xml:space="preserve">À compléter</w:t>
            </w:r>
          </w:p>
        </w:tc>
      </w:tr>
      <w:tr>
        <w:trPr>
          <w:cantSplit/>
          <w:trHeight w:val="760" w:hRule="atLeas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Nom et prénom</w:t>
            </w:r>
          </w:p>
        </w:tc>
        <w:tc>
          <w:tcPr>
            <w:tcW w:type="dxa" w:w="6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760" w:hRule="atLeast"/>
        </w:trPr>
        <w:tc>
          <w:tcPr>
            <w:tcW w:type="dxa" w:w="3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Fonction</w:t>
            </w:r>
          </w:p>
        </w:tc>
        <w:tc>
          <w:tcPr>
            <w:tcW w:type="dxa" w:w="6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760" w:hRule="atLeas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Décisions / annexes validées</w:t>
            </w:r>
          </w:p>
        </w:tc>
        <w:tc>
          <w:tcPr>
            <w:tcW w:type="dxa" w:w="6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760" w:hRule="atLeast"/>
        </w:trPr>
        <w:tc>
          <w:tcPr>
            <w:tcW w:type="dxa" w:w="3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Réserves ou points restant ouverts</w:t>
            </w:r>
          </w:p>
        </w:tc>
        <w:tc>
          <w:tcPr>
            <w:tcW w:type="dxa" w:w="6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760" w:hRule="atLeas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Date</w:t>
            </w:r>
          </w:p>
        </w:tc>
        <w:tc>
          <w:tcPr>
            <w:tcW w:type="dxa" w:w="6638"/>
            <w:tcBorders>
              <w:top w:val="single" w:color="C9D3DD" w:sz="4"/>
              <w:left w:val="single" w:color="C9D3DD" w:sz="4"/>
              <w:bottom w:val="single" w:color="C9D3DD" w:sz="4"/>
              <w:right w:val="single" w:color="C9D3DD" w:sz="4"/>
            </w:tcBorders>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r>
        <w:trPr>
          <w:cantSplit/>
          <w:trHeight w:val="760" w:hRule="atLeast"/>
        </w:trPr>
        <w:tc>
          <w:tcPr>
            <w:tcW w:type="dxa" w:w="3000"/>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bCs/>
                <w:color w:val="26303B"/>
                <w:sz w:val="18"/>
                <w:szCs w:val="18"/>
              </w:rPr>
              <w:t xml:space="preserve">Signature</w:t>
            </w:r>
          </w:p>
        </w:tc>
        <w:tc>
          <w:tcPr>
            <w:tcW w:type="dxa" w:w="6638"/>
            <w:tcBorders>
              <w:top w:val="single" w:color="C9D3DD" w:sz="4"/>
              <w:left w:val="single" w:color="C9D3DD" w:sz="4"/>
              <w:bottom w:val="single" w:color="C9D3DD" w:sz="4"/>
              <w:right w:val="single" w:color="C9D3DD" w:sz="4"/>
            </w:tcBorders>
            <w:shd w:fill="F6F9FC" w:color="auto" w:val="clear"/>
            <w:tcMar>
              <w:top w:type="dxa" w:w="70"/>
              <w:left w:type="dxa" w:w="110"/>
              <w:bottom w:type="dxa" w:w="70"/>
              <w:right w:type="dxa" w:w="110"/>
            </w:tcMar>
            <w:vAlign w:val="center"/>
          </w:tcPr>
          <w:p>
            <w:pPr>
              <w:spacing w:after="0" w:line="264" w:lineRule="auto"/>
            </w:pPr>
            <w:r>
              <w:rPr>
                <w:rFonts w:ascii="Arial" w:cs="Arial" w:eastAsia="Arial" w:hAnsi="Arial"/>
                <w:b w:val="false"/>
                <w:bCs w:val="false"/>
                <w:color w:val="26303B"/>
                <w:sz w:val="18"/>
                <w:szCs w:val="18"/>
              </w:rPr>
              <w:t xml:space="preserve"/>
            </w:r>
          </w:p>
        </w:tc>
      </w:tr>
    </w:tbl>
    <w:p>
      <w:pPr>
        <w:spacing w:after="240"/>
      </w:pPr>
    </w:p>
    <w:p>
      <w:pPr>
        <w:spacing w:before="200"/>
        <w:jc w:val="center"/>
      </w:pPr>
      <w:r>
        <w:rPr>
          <w:rFonts w:ascii="Arial" w:cs="Arial" w:eastAsia="Arial" w:hAnsi="Arial"/>
          <w:i/>
          <w:iCs/>
          <w:color w:val="5A6470"/>
          <w:sz w:val="17"/>
          <w:szCs w:val="17"/>
        </w:rPr>
        <w:t xml:space="preserve">Fin du document — Version de travail à compléter et à valider par la direction de Mwangaza Wetu.</w:t>
      </w:r>
    </w:p>
    <w:sectPr>
      <w:headerReference w:type="default" r:id="rId7"/>
      <w:footerReference w:type="default" r:id="rId8"/>
      <w:type w:val="nextPage"/>
      <w:pgSz w:w="11906" w:h="16838" w:orient="portrait"/>
      <w:pgMar w:top="1400" w:right="1134" w:bottom="1250"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470"/>
        <w:sz w:val="15"/>
        <w:szCs w:val="15"/>
      </w:rPr>
      <w:t xml:space="preserve">Document de travail — à valider par la direction</w:t>
    </w:r>
    <w:r>
      <w:rPr>
        <w:rFonts w:ascii="Arial" w:cs="Arial" w:eastAsia="Arial" w:hAnsi="Arial"/>
        <w:b/>
        <w:bCs/>
        <w:color w:val="0B4C98"/>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30E" w:sz="8" w:space="6"/>
      </w:pBdr>
      <w:tabs>
        <w:tab w:val="right" w:pos="9638"/>
      </w:tabs>
      <w:spacing w:after="0"/>
      <w:jc w:val="left"/>
    </w:pPr>
    <w:r>
      <w:drawing>
        <wp:inline distT="0" distB="0" distL="0" distR="90000">
          <wp:extent cx="330000" cy="334239"/>
          <wp:effectExtent l="0" t="0" r="0" b="0"/>
          <wp:docPr id="3" name="logo-entete" descr="Logo Mwangaza Wetu"/>
          <wp:cNvGraphicFramePr/>
          <a:graphic xmlns:a="http://schemas.openxmlformats.org/drawingml/2006/main">
            <a:graphicData uri="http://schemas.openxmlformats.org/drawingml/2006/picture">
              <pic:pic xmlns:pic="http://schemas.openxmlformats.org/drawingml/2006/picture">
                <pic:nvPicPr>
                  <pic:cNvPr id="0" name="logo-entete" descr="Logo Mwangaza Wetu — Mini-coopérative d'épargne et de crédit"/>
                  <pic:cNvPicPr/>
                </pic:nvPicPr>
                <pic:blipFill>
                  <a:blip r:embed="rId1"/>
                  <a:stretch>
                    <a:fillRect/>
                  </a:stretch>
                </pic:blipFill>
                <pic:spPr>
                  <a:xfrm>
                    <a:off x="0" y="0"/>
                    <a:ext cx="330000" cy="334239"/>
                  </a:xfrm>
                  <a:prstGeom prst="rect">
                    <a:avLst/>
                  </a:prstGeom>
                </pic:spPr>
              </pic:pic>
            </a:graphicData>
          </a:graphic>
        </wp:inline>
      </w:drawing>
    </w:r>
    <w:r>
      <w:rPr>
        <w:rFonts w:ascii="Arial" w:cs="Arial" w:eastAsia="Arial" w:hAnsi="Arial"/>
        <w:b/>
        <w:bCs/>
        <w:color w:val="0B4C98"/>
        <w:spacing w:val="20"/>
        <w:sz w:val="16"/>
        <w:szCs w:val="16"/>
      </w:rPr>
      <w:t xml:space="preserve">MWANGAZA WETU</w:t>
    </w:r>
    <w:r>
      <w:rPr>
        <w:rFonts w:ascii="Arial" w:cs="Arial" w:eastAsia="Arial" w:hAnsi="Arial"/>
        <w:color w:val="5A6470"/>
        <w:sz w:val="16"/>
        <w:szCs w:val="16"/>
      </w:rPr>
      <w:t xml:space="preserve">	Dossier fonctionnel — version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0E4F83"/>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0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e0cbc82ca15f1c5b6c5b5721e93fa67b94f7ab.png"/><Relationship Id="rId10" Type="http://schemas.openxmlformats.org/officeDocument/2006/relationships/fontTable" Target="fontTable.xml"/><Relationship Id="rId11" Type="http://schemas.openxmlformats.org/officeDocument/2006/relationships/image" Target="media/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Mwangaza Wetu — Dossier fonctionnel</dc:title>
  <dc:creator>Équipe projet</dc:creator>
  <cp:lastModifiedBy>Un-named</cp:lastModifiedBy>
  <cp:revision>1</cp:revision>
  <dcterms:created xsi:type="dcterms:W3CDTF">2026-10-01T15:10:47.516Z</dcterms:created>
  <dcterms:modified xsi:type="dcterms:W3CDTF">2026-10-01T15:10:47.516Z</dcterms:modified>
</cp:coreProperties>
</file>

<file path=docProps/custom.xml><?xml version="1.0" encoding="utf-8"?>
<Properties xmlns="http://schemas.openxmlformats.org/officeDocument/2006/custom-properties" xmlns:vt="http://schemas.openxmlformats.org/officeDocument/2006/docPropsVTypes"/>
</file>