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left"/>
            </w:pPr>
            <w:r/>
          </w:p>
        </w:tc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right"/>
            </w:pPr>
            <w:r/>
          </w:p>
        </w:tc>
      </w:tr>
    </w:tbl>
    <w:p>
      <w:pPr>
        <w:jc w:val="center"/>
      </w:pPr>
      <w:r>
        <w:rPr>
          <w:rFonts w:ascii="Arial" w:hAnsi="Arial" w:eastAsia="Arial"/>
          <w:b/>
          <w:color w:val="0B1F5E"/>
          <w:sz w:val="44"/>
        </w:rPr>
        <w:t>Gestión del tiempo - VitalMind AI</w:t>
      </w:r>
    </w:p>
    <w:p>
      <w:pPr>
        <w:jc w:val="center"/>
      </w:pPr>
      <w:r>
        <w:rPr>
          <w:rFonts w:ascii="Arial" w:hAnsi="Arial" w:eastAsia="Arial"/>
          <w:color w:val="5B6472"/>
          <w:sz w:val="22"/>
        </w:rPr>
        <w:t>Cronograma académico mayo-agosto de 2026</w:t>
      </w:r>
    </w:p>
    <w:p>
      <w:pPr>
        <w:jc w:val="center"/>
      </w:pPr>
      <w:r>
        <w:rPr>
          <w:rFonts w:ascii="Arial" w:hAnsi="Arial" w:eastAsia="Arial"/>
          <w:i/>
          <w:color w:val="1746A2"/>
          <w:sz w:val="20"/>
        </w:rPr>
        <w:t>Proyecto universitario de Ingeniería en Desarrollo y Gestión de Software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EF3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0B1F5E"/>
                <w:sz w:val="18"/>
              </w:rPr>
              <w:t>Universidad</w:t>
            </w:r>
          </w:p>
        </w:tc>
        <w:tc>
          <w:tcPr>
            <w:tcW w:type="dxa" w:w="4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8"/>
              </w:rPr>
              <w:t>Universidad Tecnológica de Xicotepec de Juárez</w:t>
            </w:r>
          </w:p>
        </w:tc>
      </w:tr>
      <w:tr>
        <w:tc>
          <w:tcPr>
            <w:tcW w:type="dxa" w:w="4706"/>
            <w:shd w:fill="EEF3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0B1F5E"/>
                <w:sz w:val="18"/>
              </w:rPr>
              <w:t>Carrera</w:t>
            </w:r>
          </w:p>
        </w:tc>
        <w:tc>
          <w:tcPr>
            <w:tcW w:type="dxa" w:w="4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8"/>
              </w:rPr>
              <w:t>Ingeniería en Desarrollo y Gestión de Software</w:t>
            </w:r>
          </w:p>
        </w:tc>
      </w:tr>
      <w:tr>
        <w:tc>
          <w:tcPr>
            <w:tcW w:type="dxa" w:w="4706"/>
            <w:shd w:fill="EEF3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0B1F5E"/>
                <w:sz w:val="18"/>
              </w:rPr>
              <w:t>Grupo</w:t>
            </w:r>
          </w:p>
        </w:tc>
        <w:tc>
          <w:tcPr>
            <w:tcW w:type="dxa" w:w="4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8"/>
              </w:rPr>
              <w:t>7A</w:t>
            </w:r>
          </w:p>
        </w:tc>
      </w:tr>
      <w:tr>
        <w:tc>
          <w:tcPr>
            <w:tcW w:type="dxa" w:w="4706"/>
            <w:shd w:fill="EEF3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0B1F5E"/>
                <w:sz w:val="18"/>
              </w:rPr>
              <w:t>Periodo</w:t>
            </w:r>
          </w:p>
        </w:tc>
        <w:tc>
          <w:tcPr>
            <w:tcW w:type="dxa" w:w="4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8"/>
              </w:rPr>
              <w:t>mayo-agosto de 2026</w:t>
            </w:r>
          </w:p>
        </w:tc>
      </w:tr>
      <w:tr>
        <w:tc>
          <w:tcPr>
            <w:tcW w:type="dxa" w:w="4706"/>
            <w:shd w:fill="EEF3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0B1F5E"/>
                <w:sz w:val="18"/>
              </w:rPr>
              <w:t>Docente</w:t>
            </w:r>
          </w:p>
        </w:tc>
        <w:tc>
          <w:tcPr>
            <w:tcW w:type="dxa" w:w="4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8"/>
              </w:rPr>
              <w:t>Pendiente de confirmar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5A19D6"/>
          <w:sz w:val="18"/>
        </w:rPr>
        <w:t>Empresa ficticia: NeuroviaLabs</w:t>
      </w:r>
    </w:p>
    <w:p>
      <w:r>
        <w:br w:type="page"/>
      </w:r>
    </w:p>
    <w:p>
      <w:pPr>
        <w:pStyle w:val="Heading1"/>
      </w:pPr>
      <w:r>
        <w:t>1. Enfoque de planeación</w:t>
      </w:r>
    </w:p>
    <w:p>
      <w:pPr>
        <w:jc w:val="both"/>
      </w:pPr>
      <w:r>
        <w:rPr>
          <w:rFonts w:ascii="Arial" w:hAnsi="Arial" w:eastAsia="Arial"/>
          <w:i w:val="0"/>
          <w:color w:val="172033"/>
          <w:sz w:val="20"/>
        </w:rPr>
        <w:t>El cronograma organiza el trabajo dentro del periodo mayo-agosto de 2026. Las fechas que aparecen en esta versión se manejan como planificación académica y no como prueba automática de que cada actividad técnica haya sido concluida. El estado debe actualizarse únicamente cuando exista evidencia del entregable correspondiente.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567"/>
            <w:shd w:fill="0B1F5E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  <w:insideH w:val="single" w:sz="4" w:space="0" w:color="9AA8C2"/>
              <w:insideV w:val="single" w:sz="4" w:space="0" w:color="9AA8C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98"/>
            <w:shd w:fill="0B1F5E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  <w:insideH w:val="single" w:sz="4" w:space="0" w:color="9AA8C2"/>
              <w:insideV w:val="single" w:sz="4" w:space="0" w:color="9AA8C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Actividad</w:t>
            </w:r>
          </w:p>
        </w:tc>
        <w:tc>
          <w:tcPr>
            <w:tcW w:type="dxa" w:w="2098"/>
            <w:shd w:fill="0B1F5E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  <w:insideH w:val="single" w:sz="4" w:space="0" w:color="9AA8C2"/>
              <w:insideV w:val="single" w:sz="4" w:space="0" w:color="9AA8C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Responsable</w:t>
            </w:r>
          </w:p>
        </w:tc>
        <w:tc>
          <w:tcPr>
            <w:tcW w:type="dxa" w:w="1077"/>
            <w:shd w:fill="0B1F5E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  <w:insideH w:val="single" w:sz="4" w:space="0" w:color="9AA8C2"/>
              <w:insideV w:val="single" w:sz="4" w:space="0" w:color="9AA8C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Inicio</w:t>
            </w:r>
          </w:p>
        </w:tc>
        <w:tc>
          <w:tcPr>
            <w:tcW w:type="dxa" w:w="1077"/>
            <w:shd w:fill="0B1F5E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  <w:insideH w:val="single" w:sz="4" w:space="0" w:color="9AA8C2"/>
              <w:insideV w:val="single" w:sz="4" w:space="0" w:color="9AA8C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Fin</w:t>
            </w:r>
          </w:p>
        </w:tc>
        <w:tc>
          <w:tcPr>
            <w:tcW w:type="dxa" w:w="567"/>
            <w:shd w:fill="0B1F5E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  <w:insideH w:val="single" w:sz="4" w:space="0" w:color="9AA8C2"/>
              <w:insideV w:val="single" w:sz="4" w:space="0" w:color="9AA8C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Días</w:t>
            </w:r>
          </w:p>
        </w:tc>
        <w:tc>
          <w:tcPr>
            <w:tcW w:type="dxa" w:w="1361"/>
            <w:shd w:fill="0B1F5E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  <w:insideH w:val="single" w:sz="4" w:space="0" w:color="9AA8C2"/>
              <w:insideV w:val="single" w:sz="4" w:space="0" w:color="9AA8C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Dependencia</w:t>
            </w:r>
          </w:p>
        </w:tc>
        <w:tc>
          <w:tcPr>
            <w:tcW w:type="dxa" w:w="1644"/>
            <w:shd w:fill="0B1F5E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  <w:insideH w:val="single" w:sz="4" w:space="0" w:color="9AA8C2"/>
              <w:insideV w:val="single" w:sz="4" w:space="0" w:color="9AA8C2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Estado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T01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Planeación del proyecto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Yazmin Gutierrez Hernandez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20/05/2026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29/05/2026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10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Inicio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T02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Investigación y contexto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Obed Guzmán Flores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25/05/2026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05/06/2026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12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Planeación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T03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Definición de requerimientos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Obed Guzmán Flores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01/06/2026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12/06/2026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12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Investigación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T04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Diseño de la aplicación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Yazmin Gutierrez Hernandez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08/06/2026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19/06/2026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12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Requerimientos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T05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Diseño de interfaz para smartwatch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Yazmin Gutierrez Hernandez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15/06/2026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26/06/2026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12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Diseño aplicación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T06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Modelo de datos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Michelle Castro Otero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22/06/2026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03/07/2026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12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Requerimientos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T07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Servicios backend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Carlos Daniel Garcia Pluma / Jennifer Bautista Barrios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29/06/2026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17/07/2026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19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Modelo de datos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T08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Sincronización con smartwatch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Carlos Daniel Garcia Pluma / Jennifer Bautista Barrios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06/07/2026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24/07/2026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19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Backend / selección wearable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T09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Visualización de mediciones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Yazmin Gutierrez Hernandez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13/07/2026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31/07/2026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19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Datos / diseño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T10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Registro digital de medicamentos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Jennifer Bautista Barrios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13/07/2026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24/07/2026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12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Backend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T11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Recordatorios y confirmación manual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Carlos Daniel Garcia Pluma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20/07/2026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31/07/2026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12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Registro medicamentos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T12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Módulos de análisis e IA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Michelle Castro Otero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27/07/2026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07/08/2026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12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Datos disponibles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T13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Seguridad y privacidad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Carlos Daniel Garcia Pluma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03/08/2026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10/08/2026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8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Backend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T14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Preparación y pruebas planificadas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Citlalli Perez Dionicio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05/08/2026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12/08/2026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8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Módulos integrables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T15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Documentación continua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Obed Guzmán Flores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20/05/2026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13/08/2026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86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Inicio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En elaboración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T16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Integración final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Equipo completo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10/08/2026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13/08/2026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4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Módulos priorizados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8FAFC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Planificación académica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T17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Entrega académica</w:t>
            </w:r>
          </w:p>
        </w:tc>
        <w:tc>
          <w:tcPr>
            <w:tcW w:type="dxa" w:w="20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Equipo completo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13/08/2026</w:t>
            </w:r>
          </w:p>
        </w:tc>
        <w:tc>
          <w:tcPr>
            <w:tcW w:type="dxa" w:w="107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13/08/2026</w:t>
            </w:r>
          </w:p>
        </w:tc>
        <w:tc>
          <w:tcPr>
            <w:tcW w:type="dxa" w:w="56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1</w:t>
            </w:r>
          </w:p>
        </w:tc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Integración y documentos</w:t>
            </w:r>
          </w:p>
        </w:tc>
        <w:tc>
          <w:tcPr>
            <w:tcW w:type="dxa" w:w="164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color w:val="172033"/>
                <w:sz w:val="13"/>
              </w:rPr>
              <w:t>Hito programado</w:t>
            </w:r>
          </w:p>
        </w:tc>
      </w:tr>
    </w:tbl>
    <w:p/>
    <w:p>
      <w:pPr>
        <w:pStyle w:val="Heading1"/>
      </w:pPr>
      <w:r>
        <w:t>2. Dependencias principales</w:t>
      </w:r>
    </w:p>
    <w:p>
      <w:pPr>
        <w:jc w:val="both"/>
      </w:pPr>
      <w:r>
        <w:rPr>
          <w:rFonts w:ascii="Arial" w:hAnsi="Arial" w:eastAsia="Arial"/>
          <w:i w:val="0"/>
          <w:color w:val="172033"/>
          <w:sz w:val="20"/>
        </w:rPr>
        <w:t>El diseño depende de la definición de requerimientos; la sincronización requiere una plataforma wearable compatible y servicios backend; los módulos de análisis requieren datos estructurados; y las pruebas dependen de que exista una versión ejecutable de los componentes que se pretenden evaluar. La documentación se mantiene como actividad transversal durante todo el periodo.</w:t>
      </w:r>
    </w:p>
    <w:p>
      <w:pPr>
        <w:pStyle w:val="Heading1"/>
      </w:pPr>
      <w:r>
        <w:t>3. Archivos del cronograma</w:t>
      </w:r>
    </w:p>
    <w:p>
      <w:pPr>
        <w:pStyle w:val="ListBullet"/>
        <w:spacing w:after="50"/>
        <w:ind w:left="312"/>
      </w:pPr>
      <w:r>
        <w:rPr>
          <w:rFonts w:ascii="Arial" w:hAnsi="Arial" w:eastAsia="Arial"/>
          <w:color w:val="172033"/>
          <w:sz w:val="20"/>
        </w:rPr>
        <w:t>Cronograma_Gantt_VitalMindAI.xlsx: versión editable con detalle y vista Gantt.</w:t>
      </w:r>
    </w:p>
    <w:p>
      <w:pPr>
        <w:pStyle w:val="ListBullet"/>
        <w:spacing w:after="50"/>
        <w:ind w:left="312"/>
      </w:pPr>
      <w:r>
        <w:rPr>
          <w:rFonts w:ascii="Arial" w:hAnsi="Arial" w:eastAsia="Arial"/>
          <w:color w:val="172033"/>
          <w:sz w:val="20"/>
        </w:rPr>
        <w:t>Diagrama_Gantt_VitalMindAI.png: vista visual del periodo.</w:t>
      </w:r>
    </w:p>
    <w:p>
      <w:pPr>
        <w:pStyle w:val="ListBullet"/>
        <w:spacing w:after="50"/>
        <w:ind w:left="312"/>
      </w:pPr>
      <w:r>
        <w:rPr>
          <w:rFonts w:ascii="Arial" w:hAnsi="Arial" w:eastAsia="Arial"/>
          <w:color w:val="172033"/>
          <w:sz w:val="20"/>
        </w:rPr>
        <w:t>Diagrama_Gantt_VitalMindAI.pdf: versión para impresión.</w:t>
      </w:r>
    </w:p>
    <w:p>
      <w:pPr>
        <w:pStyle w:val="ListBullet"/>
        <w:spacing w:after="50"/>
        <w:ind w:left="312"/>
      </w:pPr>
      <w:r>
        <w:rPr>
          <w:rFonts w:ascii="Arial" w:hAnsi="Arial" w:eastAsia="Arial"/>
          <w:color w:val="172033"/>
          <w:sz w:val="20"/>
        </w:rPr>
        <w:t>Diagrama_Gantt_VitalMindAI.md: versión Mermaid.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B6472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5B6472"/>
        <w:sz w:val="16"/>
      </w:rPr>
      <w:t>NeuroviaLabs  |  VitalMind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46A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A19D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B1F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Gestion_Tiempo_VitalMindAI</dc:title>
  <dc:subject>VitalMind AI - documentación académica</dc:subject>
  <dc:creator>NeuroviaLabs</dc:creator>
  <cp:keywords>VitalMind AI, salud, smartwatch, software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