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706"/>
        <w:gridCol w:w="4706"/>
      </w:tblGrid>
      <w:tr w:rsidR="00511039" w14:paraId="340349AD" w14:textId="77777777">
        <w:trPr>
          <w:jc w:val="center"/>
        </w:trPr>
        <w:tc>
          <w:tcPr>
            <w:tcW w:w="4706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4A19A0C" w14:textId="21DE3D64" w:rsidR="00511039" w:rsidRDefault="00511039"/>
        </w:tc>
        <w:tc>
          <w:tcPr>
            <w:tcW w:w="4706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69F9AD3" w14:textId="65E5D8BA" w:rsidR="00511039" w:rsidRDefault="00511039">
            <w:pPr>
              <w:jc w:val="right"/>
            </w:pPr>
          </w:p>
        </w:tc>
      </w:tr>
    </w:tbl>
    <w:p w14:paraId="7D2E2E16" w14:textId="4890BA49" w:rsidR="00511039" w:rsidRPr="0073162D" w:rsidRDefault="00000000">
      <w:pPr>
        <w:jc w:val="center"/>
        <w:rPr>
          <w:lang w:val="es-MX"/>
        </w:rPr>
      </w:pPr>
      <w:r w:rsidRPr="0073162D">
        <w:rPr>
          <w:b/>
          <w:color w:val="0B1F5E"/>
          <w:sz w:val="44"/>
          <w:lang w:val="es-MX"/>
        </w:rPr>
        <w:t>Gestión de adquisiciones - VitalMind AI</w:t>
      </w:r>
    </w:p>
    <w:p w14:paraId="6FAB03B1" w14:textId="77777777" w:rsidR="00511039" w:rsidRPr="0073162D" w:rsidRDefault="00000000">
      <w:pPr>
        <w:jc w:val="center"/>
        <w:rPr>
          <w:lang w:val="es-MX"/>
        </w:rPr>
      </w:pPr>
      <w:r w:rsidRPr="0073162D">
        <w:rPr>
          <w:color w:val="5B6472"/>
          <w:sz w:val="22"/>
          <w:lang w:val="es-MX"/>
        </w:rPr>
        <w:t>Recursos externos y criterios de selección</w:t>
      </w:r>
    </w:p>
    <w:p w14:paraId="1321FD7D" w14:textId="1328E234" w:rsidR="00511039" w:rsidRDefault="0073162D">
      <w:r>
        <w:rPr>
          <w:noProof/>
        </w:rPr>
        <w:drawing>
          <wp:anchor distT="0" distB="0" distL="114300" distR="114300" simplePos="0" relativeHeight="251657216" behindDoc="1" locked="0" layoutInCell="1" allowOverlap="1" wp14:anchorId="675EAB9E" wp14:editId="0B92FF7D">
            <wp:simplePos x="0" y="0"/>
            <wp:positionH relativeFrom="column">
              <wp:posOffset>106198</wp:posOffset>
            </wp:positionH>
            <wp:positionV relativeFrom="paragraph">
              <wp:posOffset>214236</wp:posOffset>
            </wp:positionV>
            <wp:extent cx="5764180" cy="5764180"/>
            <wp:effectExtent l="0" t="0" r="8255" b="8255"/>
            <wp:wrapNone/>
            <wp:docPr id="248669153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4180" cy="5764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>
        <w:br w:type="page"/>
      </w:r>
    </w:p>
    <w:p w14:paraId="1A066B25" w14:textId="77777777" w:rsidR="00511039" w:rsidRPr="0073162D" w:rsidRDefault="00000000">
      <w:pPr>
        <w:pStyle w:val="Ttulo1"/>
        <w:rPr>
          <w:color w:val="auto"/>
        </w:rPr>
      </w:pPr>
      <w:r w:rsidRPr="0073162D">
        <w:rPr>
          <w:color w:val="auto"/>
        </w:rPr>
        <w:lastRenderedPageBreak/>
        <w:t>1. Objetivo</w:t>
      </w:r>
    </w:p>
    <w:p w14:paraId="03492FE7" w14:textId="77777777" w:rsidR="00511039" w:rsidRPr="0073162D" w:rsidRDefault="00000000">
      <w:pPr>
        <w:jc w:val="both"/>
        <w:rPr>
          <w:lang w:val="es-MX"/>
        </w:rPr>
      </w:pPr>
      <w:r w:rsidRPr="0073162D">
        <w:rPr>
          <w:color w:val="172033"/>
          <w:lang w:val="es-MX"/>
        </w:rPr>
        <w:t>La gestión de adquisiciones identifica recursos que el equipo podría necesitar y que no dependen únicamente del trabajo interno. La decisión de compra o contratación se realiza después de verificar que el recurso sea indispensable y compatible con el alcance.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1701"/>
        <w:gridCol w:w="4082"/>
        <w:gridCol w:w="1247"/>
      </w:tblGrid>
      <w:tr w:rsidR="00511039" w14:paraId="390EF18B" w14:textId="77777777">
        <w:trPr>
          <w:tblHeader/>
          <w:jc w:val="center"/>
        </w:trPr>
        <w:tc>
          <w:tcPr>
            <w:tcW w:w="2268" w:type="dxa"/>
            <w:tcBorders>
              <w:top w:val="single" w:sz="4" w:space="0" w:color="9AA8C2"/>
              <w:left w:val="single" w:sz="4" w:space="0" w:color="9AA8C2"/>
              <w:bottom w:val="single" w:sz="4" w:space="0" w:color="9AA8C2"/>
              <w:right w:val="single" w:sz="4" w:space="0" w:color="9AA8C2"/>
            </w:tcBorders>
            <w:shd w:val="clear" w:color="auto" w:fill="0B1F5E"/>
            <w:vAlign w:val="center"/>
          </w:tcPr>
          <w:p w14:paraId="29BF7302" w14:textId="77777777" w:rsidR="00511039" w:rsidRDefault="00000000">
            <w:pPr>
              <w:jc w:val="center"/>
            </w:pPr>
            <w:r>
              <w:rPr>
                <w:b/>
                <w:color w:val="FFFFFF"/>
                <w:sz w:val="15"/>
              </w:rPr>
              <w:t>Recurso</w:t>
            </w:r>
          </w:p>
        </w:tc>
        <w:tc>
          <w:tcPr>
            <w:tcW w:w="1701" w:type="dxa"/>
            <w:tcBorders>
              <w:top w:val="single" w:sz="4" w:space="0" w:color="9AA8C2"/>
              <w:left w:val="single" w:sz="4" w:space="0" w:color="9AA8C2"/>
              <w:bottom w:val="single" w:sz="4" w:space="0" w:color="9AA8C2"/>
              <w:right w:val="single" w:sz="4" w:space="0" w:color="9AA8C2"/>
            </w:tcBorders>
            <w:shd w:val="clear" w:color="auto" w:fill="0B1F5E"/>
            <w:vAlign w:val="center"/>
          </w:tcPr>
          <w:p w14:paraId="30ABCF26" w14:textId="77777777" w:rsidR="00511039" w:rsidRDefault="00000000">
            <w:pPr>
              <w:jc w:val="center"/>
            </w:pPr>
            <w:r>
              <w:rPr>
                <w:b/>
                <w:color w:val="FFFFFF"/>
                <w:sz w:val="15"/>
              </w:rPr>
              <w:t>Tipo</w:t>
            </w:r>
          </w:p>
        </w:tc>
        <w:tc>
          <w:tcPr>
            <w:tcW w:w="4082" w:type="dxa"/>
            <w:tcBorders>
              <w:top w:val="single" w:sz="4" w:space="0" w:color="9AA8C2"/>
              <w:left w:val="single" w:sz="4" w:space="0" w:color="9AA8C2"/>
              <w:bottom w:val="single" w:sz="4" w:space="0" w:color="9AA8C2"/>
              <w:right w:val="single" w:sz="4" w:space="0" w:color="9AA8C2"/>
            </w:tcBorders>
            <w:shd w:val="clear" w:color="auto" w:fill="0B1F5E"/>
            <w:vAlign w:val="center"/>
          </w:tcPr>
          <w:p w14:paraId="4A36B0DB" w14:textId="77777777" w:rsidR="00511039" w:rsidRDefault="00000000">
            <w:pPr>
              <w:jc w:val="center"/>
            </w:pPr>
            <w:r>
              <w:rPr>
                <w:b/>
                <w:color w:val="FFFFFF"/>
                <w:sz w:val="15"/>
              </w:rPr>
              <w:t>Criterios de selección</w:t>
            </w:r>
          </w:p>
        </w:tc>
        <w:tc>
          <w:tcPr>
            <w:tcW w:w="1247" w:type="dxa"/>
            <w:tcBorders>
              <w:top w:val="single" w:sz="4" w:space="0" w:color="9AA8C2"/>
              <w:left w:val="single" w:sz="4" w:space="0" w:color="9AA8C2"/>
              <w:bottom w:val="single" w:sz="4" w:space="0" w:color="9AA8C2"/>
              <w:right w:val="single" w:sz="4" w:space="0" w:color="9AA8C2"/>
            </w:tcBorders>
            <w:shd w:val="clear" w:color="auto" w:fill="0B1F5E"/>
            <w:vAlign w:val="center"/>
          </w:tcPr>
          <w:p w14:paraId="2F2BA969" w14:textId="77777777" w:rsidR="00511039" w:rsidRDefault="00000000">
            <w:pPr>
              <w:jc w:val="center"/>
            </w:pPr>
            <w:r>
              <w:rPr>
                <w:b/>
                <w:color w:val="FFFFFF"/>
                <w:sz w:val="15"/>
              </w:rPr>
              <w:t>Situación</w:t>
            </w:r>
          </w:p>
        </w:tc>
      </w:tr>
      <w:tr w:rsidR="00511039" w14:paraId="217E7218" w14:textId="77777777">
        <w:trPr>
          <w:cantSplit/>
          <w:jc w:val="center"/>
        </w:trPr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vAlign w:val="center"/>
          </w:tcPr>
          <w:p w14:paraId="0D553784" w14:textId="77777777" w:rsidR="00511039" w:rsidRDefault="00000000">
            <w:pPr>
              <w:spacing w:before="20" w:after="20"/>
            </w:pPr>
            <w:r>
              <w:rPr>
                <w:color w:val="172033"/>
                <w:sz w:val="15"/>
              </w:rPr>
              <w:t>Smartwatch compatible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vAlign w:val="center"/>
          </w:tcPr>
          <w:p w14:paraId="193F8A83" w14:textId="77777777" w:rsidR="00511039" w:rsidRDefault="00000000">
            <w:pPr>
              <w:spacing w:before="20" w:after="20"/>
            </w:pPr>
            <w:r>
              <w:rPr>
                <w:color w:val="172033"/>
                <w:sz w:val="15"/>
              </w:rPr>
              <w:t>Equipo específico</w:t>
            </w:r>
          </w:p>
        </w:tc>
        <w:tc>
          <w:tcPr>
            <w:tcW w:w="408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vAlign w:val="center"/>
          </w:tcPr>
          <w:p w14:paraId="35B188F9" w14:textId="77777777" w:rsidR="00511039" w:rsidRPr="0073162D" w:rsidRDefault="00000000">
            <w:pPr>
              <w:spacing w:before="20" w:after="20"/>
              <w:rPr>
                <w:lang w:val="es-MX"/>
              </w:rPr>
            </w:pPr>
            <w:r w:rsidRPr="0073162D">
              <w:rPr>
                <w:color w:val="172033"/>
                <w:sz w:val="15"/>
                <w:lang w:val="es-MX"/>
              </w:rPr>
              <w:t>Acceso a métricas requeridas, SDK o API disponible, permisos, documentación, compatibilidad y costo.</w:t>
            </w:r>
          </w:p>
        </w:tc>
        <w:tc>
          <w:tcPr>
            <w:tcW w:w="1247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vAlign w:val="center"/>
          </w:tcPr>
          <w:p w14:paraId="76E099F0" w14:textId="77777777" w:rsidR="00511039" w:rsidRDefault="00000000">
            <w:pPr>
              <w:spacing w:before="20" w:after="20"/>
            </w:pPr>
            <w:r>
              <w:rPr>
                <w:color w:val="172033"/>
                <w:sz w:val="15"/>
              </w:rPr>
              <w:t>Pendiente de selección.</w:t>
            </w:r>
          </w:p>
        </w:tc>
      </w:tr>
      <w:tr w:rsidR="00511039" w14:paraId="5A5FA16C" w14:textId="77777777">
        <w:trPr>
          <w:cantSplit/>
          <w:jc w:val="center"/>
        </w:trPr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vAlign w:val="center"/>
          </w:tcPr>
          <w:p w14:paraId="0AEBB766" w14:textId="77777777" w:rsidR="00511039" w:rsidRDefault="00000000">
            <w:pPr>
              <w:spacing w:before="20" w:after="20"/>
            </w:pPr>
            <w:r>
              <w:rPr>
                <w:color w:val="172033"/>
                <w:sz w:val="15"/>
              </w:rPr>
              <w:t>Servicio de nube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vAlign w:val="center"/>
          </w:tcPr>
          <w:p w14:paraId="0FE76BC5" w14:textId="77777777" w:rsidR="00511039" w:rsidRDefault="00000000">
            <w:pPr>
              <w:spacing w:before="20" w:after="20"/>
            </w:pPr>
            <w:r>
              <w:rPr>
                <w:color w:val="172033"/>
                <w:sz w:val="15"/>
              </w:rPr>
              <w:t>Servicio</w:t>
            </w:r>
          </w:p>
        </w:tc>
        <w:tc>
          <w:tcPr>
            <w:tcW w:w="408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vAlign w:val="center"/>
          </w:tcPr>
          <w:p w14:paraId="3C1E2262" w14:textId="77777777" w:rsidR="00511039" w:rsidRPr="0073162D" w:rsidRDefault="00000000">
            <w:pPr>
              <w:spacing w:before="20" w:after="20"/>
              <w:rPr>
                <w:lang w:val="es-MX"/>
              </w:rPr>
            </w:pPr>
            <w:r w:rsidRPr="0073162D">
              <w:rPr>
                <w:color w:val="172033"/>
                <w:sz w:val="15"/>
                <w:lang w:val="es-MX"/>
              </w:rPr>
              <w:t>Disponibilidad, seguridad, límites gratuitos, escalabilidad básica y facilidad de despliegue.</w:t>
            </w:r>
          </w:p>
        </w:tc>
        <w:tc>
          <w:tcPr>
            <w:tcW w:w="1247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vAlign w:val="center"/>
          </w:tcPr>
          <w:p w14:paraId="6B19DDD2" w14:textId="77777777" w:rsidR="00511039" w:rsidRDefault="00000000">
            <w:pPr>
              <w:spacing w:before="20" w:after="20"/>
            </w:pPr>
            <w:r>
              <w:rPr>
                <w:color w:val="172033"/>
                <w:sz w:val="15"/>
              </w:rPr>
              <w:t>Opcional para integración.</w:t>
            </w:r>
          </w:p>
        </w:tc>
      </w:tr>
      <w:tr w:rsidR="00511039" w14:paraId="576A79EF" w14:textId="77777777">
        <w:trPr>
          <w:cantSplit/>
          <w:jc w:val="center"/>
        </w:trPr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vAlign w:val="center"/>
          </w:tcPr>
          <w:p w14:paraId="21C087E0" w14:textId="77777777" w:rsidR="00511039" w:rsidRDefault="00000000">
            <w:pPr>
              <w:spacing w:before="20" w:after="20"/>
            </w:pPr>
            <w:r>
              <w:rPr>
                <w:color w:val="172033"/>
                <w:sz w:val="15"/>
              </w:rPr>
              <w:t>Base de datos administrada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vAlign w:val="center"/>
          </w:tcPr>
          <w:p w14:paraId="72295578" w14:textId="77777777" w:rsidR="00511039" w:rsidRDefault="00000000">
            <w:pPr>
              <w:spacing w:before="20" w:after="20"/>
            </w:pPr>
            <w:r>
              <w:rPr>
                <w:color w:val="172033"/>
                <w:sz w:val="15"/>
              </w:rPr>
              <w:t>Servicio</w:t>
            </w:r>
          </w:p>
        </w:tc>
        <w:tc>
          <w:tcPr>
            <w:tcW w:w="408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vAlign w:val="center"/>
          </w:tcPr>
          <w:p w14:paraId="36C0C62B" w14:textId="77777777" w:rsidR="00511039" w:rsidRPr="0073162D" w:rsidRDefault="00000000">
            <w:pPr>
              <w:spacing w:before="20" w:after="20"/>
              <w:rPr>
                <w:lang w:val="es-MX"/>
              </w:rPr>
            </w:pPr>
            <w:r w:rsidRPr="0073162D">
              <w:rPr>
                <w:color w:val="172033"/>
                <w:sz w:val="15"/>
                <w:lang w:val="es-MX"/>
              </w:rPr>
              <w:t>Compatibilidad con backend, respaldo, seguridad y costo de prototipo.</w:t>
            </w:r>
          </w:p>
        </w:tc>
        <w:tc>
          <w:tcPr>
            <w:tcW w:w="1247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vAlign w:val="center"/>
          </w:tcPr>
          <w:p w14:paraId="1C7F36EA" w14:textId="77777777" w:rsidR="00511039" w:rsidRDefault="00000000">
            <w:pPr>
              <w:spacing w:before="20" w:after="20"/>
            </w:pPr>
            <w:r>
              <w:rPr>
                <w:color w:val="172033"/>
                <w:sz w:val="15"/>
              </w:rPr>
              <w:t>Pendiente según arquitectura final.</w:t>
            </w:r>
          </w:p>
        </w:tc>
      </w:tr>
      <w:tr w:rsidR="00511039" w14:paraId="5C7BFF84" w14:textId="77777777">
        <w:trPr>
          <w:cantSplit/>
          <w:jc w:val="center"/>
        </w:trPr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vAlign w:val="center"/>
          </w:tcPr>
          <w:p w14:paraId="2AD4B83E" w14:textId="77777777" w:rsidR="00511039" w:rsidRDefault="00000000">
            <w:pPr>
              <w:spacing w:before="20" w:after="20"/>
            </w:pPr>
            <w:r>
              <w:rPr>
                <w:color w:val="172033"/>
                <w:sz w:val="15"/>
              </w:rPr>
              <w:t>Servicio de IA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vAlign w:val="center"/>
          </w:tcPr>
          <w:p w14:paraId="3DACE403" w14:textId="77777777" w:rsidR="00511039" w:rsidRDefault="00000000">
            <w:pPr>
              <w:spacing w:before="20" w:after="20"/>
            </w:pPr>
            <w:r>
              <w:rPr>
                <w:color w:val="172033"/>
                <w:sz w:val="15"/>
              </w:rPr>
              <w:t>API o servicio</w:t>
            </w:r>
          </w:p>
        </w:tc>
        <w:tc>
          <w:tcPr>
            <w:tcW w:w="408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vAlign w:val="center"/>
          </w:tcPr>
          <w:p w14:paraId="2CB4177D" w14:textId="77777777" w:rsidR="00511039" w:rsidRPr="0073162D" w:rsidRDefault="00000000">
            <w:pPr>
              <w:spacing w:before="20" w:after="20"/>
              <w:rPr>
                <w:lang w:val="es-MX"/>
              </w:rPr>
            </w:pPr>
            <w:r w:rsidRPr="0073162D">
              <w:rPr>
                <w:color w:val="172033"/>
                <w:sz w:val="15"/>
                <w:lang w:val="es-MX"/>
              </w:rPr>
              <w:t>Política de datos, costo, latencia, límites y capacidad de restringir el alcance.</w:t>
            </w:r>
          </w:p>
        </w:tc>
        <w:tc>
          <w:tcPr>
            <w:tcW w:w="1247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vAlign w:val="center"/>
          </w:tcPr>
          <w:p w14:paraId="13F5EC6E" w14:textId="77777777" w:rsidR="00511039" w:rsidRDefault="00000000">
            <w:pPr>
              <w:spacing w:before="20" w:after="20"/>
            </w:pPr>
            <w:r>
              <w:rPr>
                <w:color w:val="172033"/>
                <w:sz w:val="15"/>
              </w:rPr>
              <w:t>Pendiente de selección.</w:t>
            </w:r>
          </w:p>
        </w:tc>
      </w:tr>
      <w:tr w:rsidR="00511039" w:rsidRPr="0073162D" w14:paraId="3E29369E" w14:textId="77777777">
        <w:trPr>
          <w:cantSplit/>
          <w:jc w:val="center"/>
        </w:trPr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vAlign w:val="center"/>
          </w:tcPr>
          <w:p w14:paraId="1C0656B4" w14:textId="77777777" w:rsidR="00511039" w:rsidRPr="0073162D" w:rsidRDefault="00000000">
            <w:pPr>
              <w:spacing w:before="20" w:after="20"/>
              <w:rPr>
                <w:lang w:val="es-MX"/>
              </w:rPr>
            </w:pPr>
            <w:r w:rsidRPr="0073162D">
              <w:rPr>
                <w:color w:val="172033"/>
                <w:sz w:val="15"/>
                <w:lang w:val="es-MX"/>
              </w:rPr>
              <w:t>Licencias de desarrollo o diseño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vAlign w:val="center"/>
          </w:tcPr>
          <w:p w14:paraId="3A38F282" w14:textId="77777777" w:rsidR="00511039" w:rsidRDefault="00000000">
            <w:pPr>
              <w:spacing w:before="20" w:after="20"/>
            </w:pPr>
            <w:r>
              <w:rPr>
                <w:color w:val="172033"/>
                <w:sz w:val="15"/>
              </w:rPr>
              <w:t>Licencia</w:t>
            </w:r>
          </w:p>
        </w:tc>
        <w:tc>
          <w:tcPr>
            <w:tcW w:w="408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vAlign w:val="center"/>
          </w:tcPr>
          <w:p w14:paraId="35BC4B21" w14:textId="77777777" w:rsidR="00511039" w:rsidRPr="0073162D" w:rsidRDefault="00000000">
            <w:pPr>
              <w:spacing w:before="20" w:after="20"/>
              <w:rPr>
                <w:lang w:val="es-MX"/>
              </w:rPr>
            </w:pPr>
            <w:r w:rsidRPr="0073162D">
              <w:rPr>
                <w:color w:val="172033"/>
                <w:sz w:val="15"/>
                <w:lang w:val="es-MX"/>
              </w:rPr>
              <w:t>Necesidad real, plan educativo y compatibilidad con herramientas del equipo.</w:t>
            </w:r>
          </w:p>
        </w:tc>
        <w:tc>
          <w:tcPr>
            <w:tcW w:w="1247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vAlign w:val="center"/>
          </w:tcPr>
          <w:p w14:paraId="139B0C07" w14:textId="77777777" w:rsidR="00511039" w:rsidRPr="0073162D" w:rsidRDefault="00000000">
            <w:pPr>
              <w:spacing w:before="20" w:after="20"/>
              <w:rPr>
                <w:lang w:val="es-MX"/>
              </w:rPr>
            </w:pPr>
            <w:r w:rsidRPr="0073162D">
              <w:rPr>
                <w:color w:val="172033"/>
                <w:sz w:val="15"/>
                <w:lang w:val="es-MX"/>
              </w:rPr>
              <w:t>Solo si una función las requiere.</w:t>
            </w:r>
          </w:p>
        </w:tc>
      </w:tr>
      <w:tr w:rsidR="00511039" w14:paraId="5033596B" w14:textId="77777777">
        <w:trPr>
          <w:cantSplit/>
          <w:jc w:val="center"/>
        </w:trPr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vAlign w:val="center"/>
          </w:tcPr>
          <w:p w14:paraId="4E212F94" w14:textId="77777777" w:rsidR="00511039" w:rsidRDefault="00000000">
            <w:pPr>
              <w:spacing w:before="20" w:after="20"/>
            </w:pPr>
            <w:r>
              <w:rPr>
                <w:color w:val="172033"/>
                <w:sz w:val="15"/>
              </w:rPr>
              <w:t>APIs externas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vAlign w:val="center"/>
          </w:tcPr>
          <w:p w14:paraId="6A2B14FC" w14:textId="77777777" w:rsidR="00511039" w:rsidRDefault="00000000">
            <w:pPr>
              <w:spacing w:before="20" w:after="20"/>
            </w:pPr>
            <w:r>
              <w:rPr>
                <w:color w:val="172033"/>
                <w:sz w:val="15"/>
              </w:rPr>
              <w:t>Servicio</w:t>
            </w:r>
          </w:p>
        </w:tc>
        <w:tc>
          <w:tcPr>
            <w:tcW w:w="408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vAlign w:val="center"/>
          </w:tcPr>
          <w:p w14:paraId="11D0E7AF" w14:textId="77777777" w:rsidR="00511039" w:rsidRPr="0073162D" w:rsidRDefault="00000000">
            <w:pPr>
              <w:spacing w:before="20" w:after="20"/>
              <w:rPr>
                <w:lang w:val="es-MX"/>
              </w:rPr>
            </w:pPr>
            <w:r w:rsidRPr="0073162D">
              <w:rPr>
                <w:color w:val="172033"/>
                <w:sz w:val="15"/>
                <w:lang w:val="es-MX"/>
              </w:rPr>
              <w:t>Documentación, estabilidad, términos de uso y costo.</w:t>
            </w:r>
          </w:p>
        </w:tc>
        <w:tc>
          <w:tcPr>
            <w:tcW w:w="1247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vAlign w:val="center"/>
          </w:tcPr>
          <w:p w14:paraId="1654D9C7" w14:textId="77777777" w:rsidR="00511039" w:rsidRDefault="00000000">
            <w:pPr>
              <w:spacing w:before="20" w:after="20"/>
            </w:pPr>
            <w:r>
              <w:rPr>
                <w:color w:val="172033"/>
                <w:sz w:val="15"/>
              </w:rPr>
              <w:t>Evaluación por función.</w:t>
            </w:r>
          </w:p>
        </w:tc>
      </w:tr>
    </w:tbl>
    <w:p w14:paraId="5CFA4B91" w14:textId="77777777" w:rsidR="00511039" w:rsidRDefault="00511039"/>
    <w:p w14:paraId="0931D085" w14:textId="77777777" w:rsidR="00511039" w:rsidRPr="0073162D" w:rsidRDefault="00000000">
      <w:pPr>
        <w:pStyle w:val="Ttulo1"/>
        <w:rPr>
          <w:color w:val="auto"/>
        </w:rPr>
      </w:pPr>
      <w:r w:rsidRPr="0073162D">
        <w:rPr>
          <w:color w:val="auto"/>
        </w:rPr>
        <w:t>2. Proceso de decisión</w:t>
      </w:r>
    </w:p>
    <w:p w14:paraId="571945CC" w14:textId="77777777" w:rsidR="00511039" w:rsidRPr="0073162D" w:rsidRDefault="00000000">
      <w:pPr>
        <w:pStyle w:val="Listaconnmeros"/>
        <w:spacing w:after="50"/>
        <w:ind w:left="312"/>
        <w:rPr>
          <w:lang w:val="es-MX"/>
        </w:rPr>
      </w:pPr>
      <w:r w:rsidRPr="0073162D">
        <w:rPr>
          <w:color w:val="172033"/>
          <w:lang w:val="es-MX"/>
        </w:rPr>
        <w:t>Definir la función que requiere el recurso externo.</w:t>
      </w:r>
    </w:p>
    <w:p w14:paraId="7F9787E2" w14:textId="77777777" w:rsidR="00511039" w:rsidRPr="0073162D" w:rsidRDefault="00000000">
      <w:pPr>
        <w:pStyle w:val="Listaconnmeros"/>
        <w:spacing w:after="50"/>
        <w:ind w:left="312"/>
        <w:rPr>
          <w:lang w:val="es-MX"/>
        </w:rPr>
      </w:pPr>
      <w:r w:rsidRPr="0073162D">
        <w:rPr>
          <w:color w:val="172033"/>
          <w:lang w:val="es-MX"/>
        </w:rPr>
        <w:t>Verificar si existe una alternativa ya disponible para el equipo.</w:t>
      </w:r>
    </w:p>
    <w:p w14:paraId="7344F511" w14:textId="77777777" w:rsidR="00511039" w:rsidRPr="0073162D" w:rsidRDefault="00000000">
      <w:pPr>
        <w:pStyle w:val="Listaconnmeros"/>
        <w:spacing w:after="50"/>
        <w:ind w:left="312"/>
        <w:rPr>
          <w:lang w:val="es-MX"/>
        </w:rPr>
      </w:pPr>
      <w:r w:rsidRPr="0073162D">
        <w:rPr>
          <w:color w:val="172033"/>
          <w:lang w:val="es-MX"/>
        </w:rPr>
        <w:t>Revisar compatibilidad técnica y condiciones de uso.</w:t>
      </w:r>
    </w:p>
    <w:p w14:paraId="377A72B4" w14:textId="77777777" w:rsidR="00511039" w:rsidRPr="0073162D" w:rsidRDefault="00000000">
      <w:pPr>
        <w:pStyle w:val="Listaconnmeros"/>
        <w:spacing w:after="50"/>
        <w:ind w:left="312"/>
        <w:rPr>
          <w:lang w:val="es-MX"/>
        </w:rPr>
      </w:pPr>
      <w:r w:rsidRPr="0073162D">
        <w:rPr>
          <w:color w:val="172033"/>
          <w:lang w:val="es-MX"/>
        </w:rPr>
        <w:t>Comparar costo y límites del plan aplicable.</w:t>
      </w:r>
    </w:p>
    <w:p w14:paraId="6F8F4206" w14:textId="77777777" w:rsidR="00511039" w:rsidRPr="0073162D" w:rsidRDefault="00000000">
      <w:pPr>
        <w:pStyle w:val="Listaconnmeros"/>
        <w:spacing w:after="50"/>
        <w:ind w:left="312"/>
        <w:rPr>
          <w:lang w:val="es-MX"/>
        </w:rPr>
      </w:pPr>
      <w:r w:rsidRPr="0073162D">
        <w:rPr>
          <w:color w:val="172033"/>
          <w:lang w:val="es-MX"/>
        </w:rPr>
        <w:t>Registrar la decisión y su justificación.</w:t>
      </w:r>
    </w:p>
    <w:p w14:paraId="65E4C9D4" w14:textId="77777777" w:rsidR="00511039" w:rsidRPr="0073162D" w:rsidRDefault="00000000">
      <w:pPr>
        <w:pStyle w:val="Listaconnmeros"/>
        <w:spacing w:after="50"/>
        <w:ind w:left="312"/>
        <w:rPr>
          <w:lang w:val="es-MX"/>
        </w:rPr>
      </w:pPr>
      <w:r w:rsidRPr="0073162D">
        <w:rPr>
          <w:color w:val="172033"/>
          <w:lang w:val="es-MX"/>
        </w:rPr>
        <w:t>Actualizar riesgos y cronograma si la dependencia afecta fechas o funcionalidades.</w:t>
      </w:r>
    </w:p>
    <w:p w14:paraId="7A8A5278" w14:textId="14AAF1A0" w:rsidR="00511039" w:rsidRPr="0073162D" w:rsidRDefault="00000000">
      <w:pPr>
        <w:jc w:val="both"/>
        <w:rPr>
          <w:lang w:val="es-MX"/>
        </w:rPr>
      </w:pPr>
      <w:r w:rsidRPr="0073162D">
        <w:rPr>
          <w:color w:val="172033"/>
          <w:lang w:val="es-MX"/>
        </w:rPr>
        <w:t>limitarse a servicios, licencias o APIs necesarios para construir y operar la solución digital.</w:t>
      </w:r>
    </w:p>
    <w:sectPr w:rsidR="00511039" w:rsidRPr="0073162D" w:rsidSect="00034616">
      <w:headerReference w:type="default" r:id="rId9"/>
      <w:footerReference w:type="default" r:id="rId10"/>
      <w:pgSz w:w="11906" w:h="16838"/>
      <w:pgMar w:top="1134" w:right="1247" w:bottom="1077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915497" w14:textId="77777777" w:rsidR="00FE5684" w:rsidRDefault="00FE5684">
      <w:pPr>
        <w:spacing w:after="0" w:line="240" w:lineRule="auto"/>
      </w:pPr>
      <w:r>
        <w:separator/>
      </w:r>
    </w:p>
  </w:endnote>
  <w:endnote w:type="continuationSeparator" w:id="0">
    <w:p w14:paraId="56F00ABF" w14:textId="77777777" w:rsidR="00FE5684" w:rsidRDefault="00FE56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09EE0D" w14:textId="77777777" w:rsidR="00511039" w:rsidRDefault="00000000">
    <w:pPr>
      <w:pStyle w:val="Piedepgina"/>
      <w:jc w:val="right"/>
    </w:pPr>
    <w:r>
      <w:rPr>
        <w:color w:val="5B6472"/>
        <w:sz w:val="16"/>
      </w:rPr>
      <w:t xml:space="preserve">Página </w:t>
    </w:r>
    <w:r>
      <w:rPr>
        <w:color w:val="5B6472"/>
        <w:sz w:val="16"/>
      </w:rPr>
      <w:fldChar w:fldCharType="begin"/>
    </w:r>
    <w:r>
      <w:rPr>
        <w:color w:val="5B6472"/>
        <w:sz w:val="16"/>
      </w:rPr>
      <w:instrText>PAGE</w:instrText>
    </w:r>
    <w:r w:rsidR="0073162D">
      <w:rPr>
        <w:color w:val="5B6472"/>
        <w:sz w:val="16"/>
      </w:rPr>
      <w:fldChar w:fldCharType="separate"/>
    </w:r>
    <w:r w:rsidR="0073162D">
      <w:rPr>
        <w:noProof/>
        <w:color w:val="5B6472"/>
        <w:sz w:val="16"/>
      </w:rPr>
      <w:t>1</w:t>
    </w:r>
    <w:r>
      <w:rPr>
        <w:color w:val="5B6472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FE8AE1" w14:textId="77777777" w:rsidR="00FE5684" w:rsidRDefault="00FE5684">
      <w:pPr>
        <w:spacing w:after="0" w:line="240" w:lineRule="auto"/>
      </w:pPr>
      <w:r>
        <w:separator/>
      </w:r>
    </w:p>
  </w:footnote>
  <w:footnote w:type="continuationSeparator" w:id="0">
    <w:p w14:paraId="13B4A1EA" w14:textId="77777777" w:rsidR="00FE5684" w:rsidRDefault="00FE568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36EC6D" w14:textId="0ECD5538" w:rsidR="00511039" w:rsidRDefault="00511039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53662054">
    <w:abstractNumId w:val="8"/>
  </w:num>
  <w:num w:numId="2" w16cid:durableId="380596572">
    <w:abstractNumId w:val="6"/>
  </w:num>
  <w:num w:numId="3" w16cid:durableId="1067142852">
    <w:abstractNumId w:val="5"/>
  </w:num>
  <w:num w:numId="4" w16cid:durableId="535394460">
    <w:abstractNumId w:val="4"/>
  </w:num>
  <w:num w:numId="5" w16cid:durableId="216941925">
    <w:abstractNumId w:val="7"/>
  </w:num>
  <w:num w:numId="6" w16cid:durableId="5328911">
    <w:abstractNumId w:val="3"/>
  </w:num>
  <w:num w:numId="7" w16cid:durableId="2050759827">
    <w:abstractNumId w:val="2"/>
  </w:num>
  <w:num w:numId="8" w16cid:durableId="10424824">
    <w:abstractNumId w:val="1"/>
  </w:num>
  <w:num w:numId="9" w16cid:durableId="19784171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11039"/>
    <w:rsid w:val="0073162D"/>
    <w:rsid w:val="008735F4"/>
    <w:rsid w:val="00AA1D8D"/>
    <w:rsid w:val="00B47730"/>
    <w:rsid w:val="00CB0664"/>
    <w:rsid w:val="00FC693F"/>
    <w:rsid w:val="00FE56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B3C02D4"/>
  <w14:defaultImageDpi w14:val="300"/>
  <w15:docId w15:val="{C6C15CA0-7A0D-44CF-A24E-D2D9897E13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rial" w:eastAsia="Arial" w:hAnsi="Arial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/>
      <w:b/>
      <w:bCs/>
      <w:color w:val="0B1F5E"/>
      <w:sz w:val="30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1746A2"/>
      <w:sz w:val="24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5A19D6"/>
      <w:sz w:val="2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before="160" w:after="80" w:line="240" w:lineRule="auto"/>
      <w:contextualSpacing/>
    </w:pPr>
    <w:rPr>
      <w:rFonts w:asciiTheme="majorHAnsi" w:eastAsiaTheme="majorEastAsia" w:hAnsiTheme="majorHAnsi" w:cstheme="majorBidi"/>
      <w:b/>
      <w:color w:val="0B1F5E"/>
      <w:spacing w:val="5"/>
      <w:kern w:val="28"/>
      <w:sz w:val="44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264</Words>
  <Characters>1454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Gestion_Adquisiciones_VitalMindAI</dc:title>
  <dc:subject>VitalMind AI - documentación académica</dc:subject>
  <dc:creator>NeuroviaLabs</dc:creator>
  <cp:keywords>VitalMind AI, salud, smartwatch, software</cp:keywords>
  <dc:description>generated by python-docx</dc:description>
  <cp:lastModifiedBy>Daniel Garcia</cp:lastModifiedBy>
  <cp:revision>3</cp:revision>
  <dcterms:created xsi:type="dcterms:W3CDTF">2013-12-23T23:15:00Z</dcterms:created>
  <dcterms:modified xsi:type="dcterms:W3CDTF">2026-08-14T15:04:00Z</dcterms:modified>
  <cp:category/>
</cp:coreProperties>
</file>