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Indian Client Profile 01</w:t>
      </w:r>
    </w:p>
    <w:p>
      <w:pPr>
        <w:jc w:val="center"/>
      </w:pPr>
      <w:r>
        <w:rPr>
          <w:b/>
          <w:sz w:val="26"/>
        </w:rPr>
        <w:t>Fictional Test Client: Arjun Mehta</w:t>
      </w:r>
    </w:p>
    <w:p>
      <w:r>
        <w:t>Purpose: Synthetic Indian client data for testing a KYC + IPS investment suitability/rules engine. This is not real customer data or financial advice.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KYC / IPS Field</w:t>
            </w:r>
          </w:p>
        </w:tc>
        <w:tc>
          <w:tcPr>
            <w:tcW w:type="dxa" w:w="4320"/>
          </w:tcPr>
          <w:p>
            <w:r>
              <w:t>Client Value</w:t>
            </w:r>
          </w:p>
        </w:tc>
      </w:tr>
      <w:tr>
        <w:tc>
          <w:tcPr>
            <w:tcW w:type="dxa" w:w="4320"/>
          </w:tcPr>
          <w:p>
            <w:r>
              <w:t>1. Age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2. Annual Income</w:t>
            </w:r>
          </w:p>
        </w:tc>
        <w:tc>
          <w:tcPr>
            <w:tcW w:type="dxa" w:w="4320"/>
          </w:tcPr>
          <w:p>
            <w:r>
              <w:t>₹35,00,000 (35 Lakhs)</w:t>
            </w:r>
          </w:p>
        </w:tc>
      </w:tr>
      <w:tr>
        <w:tc>
          <w:tcPr>
            <w:tcW w:type="dxa" w:w="4320"/>
          </w:tcPr>
          <w:p>
            <w:r>
              <w:t>3. Investable Net Worth</w:t>
            </w:r>
          </w:p>
        </w:tc>
        <w:tc>
          <w:tcPr>
            <w:tcW w:type="dxa" w:w="4320"/>
          </w:tcPr>
          <w:p>
            <w:r>
              <w:t>₹2,50,00,000 (2.5 Crore)</w:t>
            </w:r>
          </w:p>
        </w:tc>
      </w:tr>
      <w:tr>
        <w:tc>
          <w:tcPr>
            <w:tcW w:type="dxa" w:w="4320"/>
          </w:tcPr>
          <w:p>
            <w:r>
              <w:t>4. Investment Experience</w:t>
            </w:r>
          </w:p>
        </w:tc>
        <w:tc>
          <w:tcPr>
            <w:tcW w:type="dxa" w:w="4320"/>
          </w:tcPr>
          <w:p>
            <w:r>
              <w:t>Experienced</w:t>
            </w:r>
          </w:p>
        </w:tc>
      </w:tr>
      <w:tr>
        <w:tc>
          <w:tcPr>
            <w:tcW w:type="dxa" w:w="4320"/>
          </w:tcPr>
          <w:p>
            <w:r>
              <w:t>5. Employment Status</w:t>
            </w:r>
          </w:p>
        </w:tc>
        <w:tc>
          <w:tcPr>
            <w:tcW w:type="dxa" w:w="4320"/>
          </w:tcPr>
          <w:p>
            <w:r>
              <w:t>Senior IT Director, Employed</w:t>
            </w:r>
          </w:p>
        </w:tc>
      </w:tr>
      <w:tr>
        <w:tc>
          <w:tcPr>
            <w:tcW w:type="dxa" w:w="4320"/>
          </w:tcPr>
          <w:p>
            <w:r>
              <w:t>6. Number of Dependents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7. Investment Objective</w:t>
            </w:r>
          </w:p>
        </w:tc>
        <w:tc>
          <w:tcPr>
            <w:tcW w:type="dxa" w:w="4320"/>
          </w:tcPr>
          <w:p>
            <w:r>
              <w:t>Growth and Income (growth_and_income)</w:t>
            </w:r>
          </w:p>
        </w:tc>
      </w:tr>
      <w:tr>
        <w:tc>
          <w:tcPr>
            <w:tcW w:type="dxa" w:w="4320"/>
          </w:tcPr>
          <w:p>
            <w:r>
              <w:t>8. Stated Risk Tolerance</w:t>
            </w:r>
          </w:p>
        </w:tc>
        <w:tc>
          <w:tcPr>
            <w:tcW w:type="dxa" w:w="4320"/>
          </w:tcPr>
          <w:p>
            <w:r>
              <w:t>Moderate Aggressive (moderate_aggressive)</w:t>
            </w:r>
          </w:p>
        </w:tc>
      </w:tr>
      <w:tr>
        <w:tc>
          <w:tcPr>
            <w:tcW w:type="dxa" w:w="4320"/>
          </w:tcPr>
          <w:p>
            <w:r>
              <w:t>9. Time Horizon</w:t>
            </w:r>
          </w:p>
        </w:tc>
        <w:tc>
          <w:tcPr>
            <w:tcW w:type="dxa" w:w="4320"/>
          </w:tcPr>
          <w:p>
            <w:r>
              <w:t>15 years</w:t>
            </w:r>
          </w:p>
        </w:tc>
      </w:tr>
      <w:tr>
        <w:tc>
          <w:tcPr>
            <w:tcW w:type="dxa" w:w="4320"/>
          </w:tcPr>
          <w:p>
            <w:r>
              <w:t>10. Liquidity Needs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11. Tax Bracket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12. IPS Negative Restrictions</w:t>
            </w:r>
          </w:p>
        </w:tc>
        <w:tc>
          <w:tcPr>
            <w:tcW w:type="dxa" w:w="4320"/>
          </w:tcPr>
          <w:p>
            <w:r>
              <w:t>no_tobacco, no_firearms, no_crypto</w:t>
            </w:r>
          </w:p>
        </w:tc>
      </w:tr>
      <w:tr>
        <w:tc>
          <w:tcPr>
            <w:tcW w:type="dxa" w:w="4320"/>
          </w:tcPr>
          <w:p>
            <w:r>
              <w:t>13. Max Single Position Limit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/>
    <w:p>
      <w:r>
        <w:rPr>
          <w:b/>
        </w:rPr>
        <w:t>Engine Test Notes</w:t>
      </w:r>
    </w:p>
    <w:p>
      <w:pPr>
        <w:pStyle w:val="ListBullet"/>
      </w:pPr>
      <w:r>
        <w:t>Age is below 70, so the age-based senior guardrail should not activate.</w:t>
      </w:r>
    </w:p>
    <w:p>
      <w:pPr>
        <w:pStyle w:val="ListBullet"/>
      </w:pPr>
      <w:r>
        <w:t>Net worth is above ₹41.5 Lakhs, so the stated 4+ asset-class rule should activate.</w:t>
      </w:r>
    </w:p>
    <w:p>
      <w:pPr>
        <w:pStyle w:val="ListBullet"/>
      </w:pPr>
      <w:r>
        <w:t>Time horizon is above 3 years, so the short-horizon equity restriction should not activate.</w:t>
      </w:r>
    </w:p>
    <w:p>
      <w:pPr>
        <w:pStyle w:val="ListBullet"/>
      </w:pPr>
      <w:r>
        <w:t>Liquidity need is low, so the mandatory high-liquidity cash buffer should not activate.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