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Indian Client Profile 02</w:t>
      </w:r>
    </w:p>
    <w:p>
      <w:pPr>
        <w:jc w:val="center"/>
      </w:pPr>
      <w:r>
        <w:rPr>
          <w:b/>
          <w:sz w:val="26"/>
        </w:rPr>
        <w:t>Fictional Test Client: Lakshmi Narayanan</w:t>
      </w:r>
    </w:p>
    <w:p>
      <w:r>
        <w:t>Purpose: Synthetic Indian client data for testing a KYC + IPS investment suitability/rules engine. This is not real customer data or financial advice.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KYC / IPS Field</w:t>
            </w:r>
          </w:p>
        </w:tc>
        <w:tc>
          <w:tcPr>
            <w:tcW w:type="dxa" w:w="4320"/>
          </w:tcPr>
          <w:p>
            <w:r>
              <w:t>Client Value</w:t>
            </w:r>
          </w:p>
        </w:tc>
      </w:tr>
      <w:tr>
        <w:tc>
          <w:tcPr>
            <w:tcW w:type="dxa" w:w="4320"/>
          </w:tcPr>
          <w:p>
            <w:r>
              <w:t>1. Age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2. Annual Income</w:t>
            </w:r>
          </w:p>
        </w:tc>
        <w:tc>
          <w:tcPr>
            <w:tcW w:type="dxa" w:w="4320"/>
          </w:tcPr>
          <w:p>
            <w:r>
              <w:t>₹18,00,000 (18 Lakhs)</w:t>
            </w:r>
          </w:p>
        </w:tc>
      </w:tr>
      <w:tr>
        <w:tc>
          <w:tcPr>
            <w:tcW w:type="dxa" w:w="4320"/>
          </w:tcPr>
          <w:p>
            <w:r>
              <w:t>3. Investable Net Worth</w:t>
            </w:r>
          </w:p>
        </w:tc>
        <w:tc>
          <w:tcPr>
            <w:tcW w:type="dxa" w:w="4320"/>
          </w:tcPr>
          <w:p>
            <w:r>
              <w:t>₹75,00,000 (75 Lakhs)</w:t>
            </w:r>
          </w:p>
        </w:tc>
      </w:tr>
      <w:tr>
        <w:tc>
          <w:tcPr>
            <w:tcW w:type="dxa" w:w="4320"/>
          </w:tcPr>
          <w:p>
            <w:r>
              <w:t>4. Investment Experience</w:t>
            </w:r>
          </w:p>
        </w:tc>
        <w:tc>
          <w:tcPr>
            <w:tcW w:type="dxa" w:w="4320"/>
          </w:tcPr>
          <w:p>
            <w:r>
              <w:t>Limited</w:t>
            </w:r>
          </w:p>
        </w:tc>
      </w:tr>
      <w:tr>
        <w:tc>
          <w:tcPr>
            <w:tcW w:type="dxa" w:w="4320"/>
          </w:tcPr>
          <w:p>
            <w:r>
              <w:t>5. Employment Status</w:t>
            </w:r>
          </w:p>
        </w:tc>
        <w:tc>
          <w:tcPr>
            <w:tcW w:type="dxa" w:w="4320"/>
          </w:tcPr>
          <w:p>
            <w:r>
              <w:t>Retired; pension income</w:t>
            </w:r>
          </w:p>
        </w:tc>
      </w:tr>
      <w:tr>
        <w:tc>
          <w:tcPr>
            <w:tcW w:type="dxa" w:w="4320"/>
          </w:tcPr>
          <w:p>
            <w:r>
              <w:t>6. Number of Dependents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7. Investment Objective</w:t>
            </w:r>
          </w:p>
        </w:tc>
        <w:tc>
          <w:tcPr>
            <w:tcW w:type="dxa" w:w="4320"/>
          </w:tcPr>
          <w:p>
            <w:r>
              <w:t>Capital Preservation (capital_preservation)</w:t>
            </w:r>
          </w:p>
        </w:tc>
      </w:tr>
      <w:tr>
        <w:tc>
          <w:tcPr>
            <w:tcW w:type="dxa" w:w="4320"/>
          </w:tcPr>
          <w:p>
            <w:r>
              <w:t>8. Stated Risk Tolerance</w:t>
            </w:r>
          </w:p>
        </w:tc>
        <w:tc>
          <w:tcPr>
            <w:tcW w:type="dxa" w:w="4320"/>
          </w:tcPr>
          <w:p>
            <w:r>
              <w:t>Conservative (conservative)</w:t>
            </w:r>
          </w:p>
        </w:tc>
      </w:tr>
      <w:tr>
        <w:tc>
          <w:tcPr>
            <w:tcW w:type="dxa" w:w="4320"/>
          </w:tcPr>
          <w:p>
            <w:r>
              <w:t>9. Time Horizon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10. Liquidity Needs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11. Tax Bracket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12. IPS Negative Restrictions</w:t>
            </w:r>
          </w:p>
        </w:tc>
        <w:tc>
          <w:tcPr>
            <w:tcW w:type="dxa" w:w="4320"/>
          </w:tcPr>
          <w:p>
            <w:r>
              <w:t>no_tobacco, no_fossil_fuels, no_crypto</w:t>
            </w:r>
          </w:p>
        </w:tc>
      </w:tr>
      <w:tr>
        <w:tc>
          <w:tcPr>
            <w:tcW w:type="dxa" w:w="4320"/>
          </w:tcPr>
          <w:p>
            <w:r>
              <w:t>13. Max Single Position Limit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</w:tbl>
    <w:p/>
    <w:p>
      <w:r>
        <w:rPr>
          <w:b/>
        </w:rPr>
        <w:t>Engine Test Notes</w:t>
      </w:r>
    </w:p>
    <w:p>
      <w:pPr>
        <w:pStyle w:val="ListBullet"/>
      </w:pPr>
      <w:r>
        <w:t>Age is 70 or above, so the stated senior equity cap should activate.</w:t>
      </w:r>
    </w:p>
    <w:p>
      <w:pPr>
        <w:pStyle w:val="ListBullet"/>
      </w:pPr>
      <w:r>
        <w:t>Net worth is above ₹41.5 Lakhs, so the stated 4+ asset-class rule should activate.</w:t>
      </w:r>
    </w:p>
    <w:p>
      <w:pPr>
        <w:pStyle w:val="ListBullet"/>
      </w:pPr>
      <w:r>
        <w:t>Time horizon is exactly 3 years, so a rule defined as strictly below 3 years should not activate.</w:t>
      </w:r>
    </w:p>
    <w:p>
      <w:pPr>
        <w:pStyle w:val="ListBullet"/>
      </w:pPr>
      <w:r>
        <w:t>Liquidity need is high, so the stated minimum 15% cash buffer should activate.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