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【办公网络使用规范】</w:t>
      </w:r>
    </w:p>
    <w:p>
      <w:r>
        <w:t xml:space="preserve">版本号：V5.2    生效日期：2025-05-25    责任部门：信息技术部</w:t>
      </w:r>
    </w:p>
    <w:p>
      <w:r>
        <w:t xml:space="preserve">文档编号：IT-064</w:t>
      </w:r>
    </w:p>
    <w:p/>
    <w:p>
      <w:pPr>
        <w:pStyle w:val="Heading2"/>
      </w:pPr>
      <w:r>
        <w:t xml:space="preserve">一、目的与适用范围</w:t>
      </w:r>
    </w:p>
    <w:p>
      <w:r>
        <w:t xml:space="preserve">为规范办公网络使用规范相关工作，明确职责与流程，提升运营效率与合规水平，特制定本办法。本办法适用于公司全体员工及相关部门，自 2025-05-25 起施行，原有规定与本办法不一致的，以本办法为准。</w:t>
      </w:r>
    </w:p>
    <w:p/>
    <w:p>
      <w:pPr>
        <w:pStyle w:val="Heading2"/>
      </w:pPr>
      <w:r>
        <w:t xml:space="preserve">二、术语与定义</w:t>
      </w:r>
    </w:p>
    <w:p>
      <w:r>
        <w:t xml:space="preserve">本办法所称"办公网络使用规范"，是指公司内部依据本制度开展的申请、审批、执行、归档等全流程活动的统称。所称"申请人"为发起相关流程的公司员工；"审批人"为依据权限表对申请进行审核的主管或部门负责人；"归口管理部门"为信息技术部。</w:t>
      </w:r>
    </w:p>
    <w:p/>
    <w:p>
      <w:pPr>
        <w:pStyle w:val="Heading2"/>
      </w:pPr>
      <w:r>
        <w:t xml:space="preserve">三、职责分工</w:t>
      </w:r>
    </w:p>
    <w:p>
      <w:r>
        <w:t xml:space="preserve">信息技术部为办公网络使用规范的归口管理部门，负责政策制定、流程优化与日常答疑；各业务部门负责人负责本部门内的执行与监督检查；财务部、法务合规部在涉及资金、合规事项时承担审核与监督职责。涉及跨部门协作的，由信息技术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25000 元 | 部门负责人 | 1 |</w:t>
      </w:r>
    </w:p>
    <w:p>
      <w:r>
        <w:t xml:space="preserve">| 25001 ~ 50000 元 | 部门负责人 + 信息技术部主管 | 2 |</w:t>
      </w:r>
    </w:p>
    <w:p>
      <w:r>
        <w:t xml:space="preserve">| &gt; 50000 元 | 部门负责人 + 信息技术部主管 + 法务合规 | 6 |</w:t>
      </w:r>
    </w:p>
    <w:p>
      <w:r>
        <w:t xml:space="preserve">| 紧急申请（口头/邮件） | 直接主管 + 信息技术部 | 1 + 4 日内补办 |</w:t>
      </w:r>
    </w:p>
    <w:p/>
    <w:p>
      <w:r>
        <w:t xml:space="preserve">审批通过后由信息技术部备案。紧急事项可先口头或邮件申请，并于 6 个工作日内补办系统流程；超期未补办视为放弃申请，已发生的费用由申请人自行承担。</w:t>
      </w:r>
    </w:p>
    <w:p/>
    <w:p>
      <w:pPr>
        <w:pStyle w:val="Heading2"/>
      </w:pPr>
      <w:r>
        <w:t xml:space="preserve">六、执行与归档</w:t>
      </w:r>
    </w:p>
    <w:p>
      <w:r>
        <w:t xml:space="preserve">审批通过后，申请人应在 6 个工作日内完成相关事项的执行；执行过程如需调整，须重新发起审批。完成后须在 4 个工作日内向信息技术部提交执行报告（含凭证、票据、影像资料），由信息技术部审核后归档。归档材料保存期限不少于 5 年，电子档案与纸质档案具有同等效力。</w:t>
      </w:r>
    </w:p>
    <w:p/>
    <w:p>
      <w:pPr>
        <w:pStyle w:val="Heading2"/>
      </w:pPr>
      <w:r>
        <w:t xml:space="preserve">七、禁止性规定</w:t>
      </w:r>
    </w:p>
    <w:p>
      <w:r>
        <w:t xml:space="preserve">从事办公网络使用规范相关活动时，严禁出现以下行为：(1)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信息技术部与法务合规部对办公网络使用规范执行情况开展定期与不定期抽查。违规情节认定与处理如下：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2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本办法由信息技术部负责解释，自颁布之日起执行。公司将根据业务发展与监管要求适时修订，修订后另行公告。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1：办公网络使用规范标准申请表；(2) 附件 2：审批权限一览表；(3) 附件 3：常见问题 FAQ；(4) 附件 4：执行报告模板。附件与正文具有同等效力，附件由信息技术部另行发布并动态维护。</w:t>
      </w:r>
    </w:p>
    <w:p/>
    <w:p>
      <w:r>
        <w:t xml:space="preserve">—— 信息技术部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2026-09-10T09:15:09.524Z</dcterms:created>
  <dcterms:modified xsi:type="dcterms:W3CDTF">2026-09-10T09:15:09.524Z</dcterms:modified>
</cp:coreProperties>
</file>

<file path=docProps/custom.xml><?xml version="1.0" encoding="utf-8"?>
<Properties xmlns="http://schemas.openxmlformats.org/officeDocument/2006/custom-properties" xmlns:vt="http://schemas.openxmlformats.org/officeDocument/2006/docPropsVTypes"/>
</file>