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E11BE2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E11BE2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bookmarkStart w:id="0" w:name="Titlepage"/>
    <w:p w:rsidR="0022502B" w:rsidRPr="00D52958" w:rsidRDefault="00E11BE2" w:rsidP="0022502B">
      <w:pPr>
        <w:pStyle w:val="Titre"/>
        <w:jc w:val="center"/>
      </w:pPr>
      <w:r>
        <w:fldChar w:fldCharType="begin"/>
      </w:r>
      <w:r w:rsidR="0022502B"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="00E11BE2">
        <w:fldChar w:fldCharType="begin"/>
      </w:r>
      <w:r w:rsidRPr="00D52958">
        <w:instrText>m:projectVersion</w:instrText>
      </w:r>
      <w:r w:rsidR="00E11BE2">
        <w:fldChar w:fldCharType="end"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5091F">
          <w:rPr>
            <w:noProof/>
          </w:rPr>
          <w:t>23/01/2023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C1A45"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 w:rsidR="003B0D90"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95091F">
              <w:rPr>
                <w:noProof/>
                <w:sz w:val="24"/>
                <w:szCs w:val="24"/>
              </w:rPr>
              <w:instrText>.setConserveRatio(true)</w:instrText>
            </w:r>
            <w:r w:rsidR="004F1EF1">
              <w:rPr>
                <w:noProof/>
                <w:sz w:val="24"/>
                <w:szCs w:val="24"/>
              </w:rPr>
              <w:instrText>.setWidth(200)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 xml:space="preserve">Liste des schémas de la </w:t>
      </w:r>
      <w:proofErr w:type="spellStart"/>
      <w:r>
        <w:t>BdD</w:t>
      </w:r>
      <w:bookmarkEnd w:id="22"/>
      <w:bookmarkEnd w:id="23"/>
      <w:bookmarkEnd w:id="24"/>
      <w:bookmarkEnd w:id="25"/>
      <w:bookmarkEnd w:id="2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proofErr w:type="spellStart"/>
      <w:r w:rsidR="00FC1A45">
        <w:t>BdD</w:t>
      </w:r>
      <w:bookmarkEnd w:id="27"/>
      <w:bookmarkEnd w:id="28"/>
      <w:bookmarkEnd w:id="29"/>
      <w:bookmarkEnd w:id="30"/>
      <w:bookmarkEnd w:id="31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</w:instrText>
            </w:r>
            <w:r w:rsidR="00A770B6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2"/>
      <w:bookmarkEnd w:id="33"/>
      <w:bookmarkEnd w:id="34"/>
      <w:bookmarkEnd w:id="35"/>
      <w:bookmarkEnd w:id="3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 w:rsidR="00E11BE2">
        <w:fldChar w:fldCharType="begin"/>
      </w:r>
      <w:r w:rsidR="00023BC5">
        <w:instrText>m:seq.name</w:instrText>
      </w:r>
      <w:r w:rsidR="00E11BE2"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2"/>
      <w:bookmarkEnd w:id="43"/>
      <w:bookmarkEnd w:id="44"/>
      <w:bookmarkEnd w:id="45"/>
      <w:bookmarkEnd w:id="4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lastRenderedPageBreak/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view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E11BE2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="00FC1A45" w:rsidRPr="00FC1A45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FC1A45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 w:rsidR="00E11BE2">
        <w:fldChar w:fldCharType="begin"/>
      </w:r>
      <w:r w:rsidR="00023BC5">
        <w:instrText>m:schema.name</w:instrText>
      </w:r>
      <w:r w:rsidR="00E11BE2"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F1EF1"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</w:instrText>
            </w:r>
            <w:r w:rsidR="0095091F">
              <w:rPr>
                <w:sz w:val="24"/>
                <w:szCs w:val="24"/>
              </w:rPr>
              <w:instrText>true</w:instrText>
            </w:r>
            <w:r w:rsidR="00784932">
              <w:rPr>
                <w:sz w:val="24"/>
                <w:szCs w:val="24"/>
              </w:rPr>
              <w:instrText>)</w:instrText>
            </w:r>
            <w:bookmarkStart w:id="62" w:name="_GoBack"/>
            <w:bookmarkEnd w:id="62"/>
            <w:r w:rsidR="004F1EF1">
              <w:rPr>
                <w:sz w:val="24"/>
                <w:szCs w:val="24"/>
              </w:rPr>
              <w:instrText>.setWidth(500)</w:instrText>
            </w:r>
            <w:r>
              <w:rPr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>
      <w:r>
        <w:t/>
      </w:r>
    </w:p>
    <w:p w:rsidR="003702C0" w:rsidRPr="003702C0" w:rsidRDefault="00E11BE2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="003702C0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 w:rsidR="00E11BE2">
        <w:fldChar w:fldCharType="begin"/>
      </w:r>
      <w:r w:rsidR="002404A7">
        <w:instrText>m</w:instrText>
      </w:r>
      <w:r w:rsidR="003702C0">
        <w:instrText>:table.name</w:instrText>
      </w:r>
      <w:r w:rsidR="00E11BE2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3702C0"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0B2A83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F115AF">
        <w:instrText xml:space="preserve">m:if not </w:instrText>
      </w:r>
      <w:r w:rsidR="00A67585">
        <w:instrText>(</w:instrText>
      </w:r>
      <w:r w:rsidR="00F115AF"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="00FC1A45"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 w:rsidR="00FC1A45">
              <w:instrText>.comments</w:instrText>
            </w:r>
            <w:r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 w:rsidR="00FC1A45">
              <w:instrText xml:space="preserve">.columns 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>m:col.name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E11BE2" w:rsidP="000800C8">
      <w:pPr>
        <w:ind w:left="720" w:firstLine="720"/>
      </w:pPr>
      <w:r>
        <w:fldChar w:fldCharType="begin"/>
      </w:r>
      <w:r w:rsidR="00F115AF"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m:for fke | fk.</w:instrText>
            </w:r>
            <w:r w:rsidR="00184FB7">
              <w:instrText>elements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m:fke.pkColumn.name</w:instrText>
            </w:r>
            <w:r>
              <w:fldChar w:fldCharType="end"/>
            </w:r>
          </w:p>
          <w:p w:rsidR="00A770B6" w:rsidRDefault="00E11BE2" w:rsidP="00A770B6">
            <w:r>
              <w:fldChar w:fldCharType="begin"/>
            </w:r>
            <w:r w:rsidR="00A770B6">
              <w:instrText xml:space="preserve"> m:fke.foreignKeyColumn().name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m:fke.fkColumn.name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>
              <w:fldChar w:fldCharType="begin"/>
            </w:r>
            <w:r w:rsidR="00FC1A45">
              <w:instrText xml:space="preserve"> m:fk.</w:instrText>
            </w:r>
            <w:r w:rsidR="00A770B6">
              <w:instrText>t</w:instrText>
            </w:r>
            <w:r w:rsidR="00FC1A45">
              <w:instrText>arget.name</w:instrText>
            </w:r>
            <w:r>
              <w:fldChar w:fldCharType="end"/>
            </w:r>
          </w:p>
        </w:tc>
      </w:tr>
    </w:tbl>
    <w:p w:rsidR="00FC1A45" w:rsidRDefault="00E11BE2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3703E9"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="003703E9"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index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 w:rsidR="00FC1A45"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451CE3">
        <w:instrText>m:for column |table.</w:instrText>
      </w:r>
      <w:r w:rsidR="00A770B6">
        <w:instrText>c</w:instrText>
      </w:r>
      <w:r w:rsidR="00451CE3"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E11BE2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E11BE2" w:rsidRPr="00FC1A45">
        <w:fldChar w:fldCharType="end"/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 w:rsidR="00616A42"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="007D4EE7"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 w:rsidR="00616A42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m:column.checkMandatory()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m:column.checkInPrimaryKey()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m:column.isAutoincrement()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m:column.inForeignKey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m:column.inPrimaryKey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m:column.isInPrimaryKey()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m:column.nullable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m:column.isNullable()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unique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7D4EE7"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m:if not (</w:instrText>
            </w:r>
            <w:r w:rsidR="00A1583D" w:rsidRPr="00D116FF">
              <w:instrText>column.index</w:instrText>
            </w:r>
            <w:r w:rsidR="00A1583D">
              <w:instrText>es =null)</w:instrText>
            </w:r>
            <w:r>
              <w:fldChar w:fldCharType="end"/>
            </w:r>
          </w:p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 w:rsidR="006C3A0B">
              <w:instrText>m:for idx |</w:instrText>
            </w:r>
            <w:r w:rsidR="006C3A0B" w:rsidRPr="00D116FF">
              <w:instrText xml:space="preserve"> column.index</w:instrText>
            </w:r>
            <w:r w:rsidR="006C3A0B">
              <w:instrText xml:space="preserve">es 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</w:instrText>
            </w:r>
            <w:r w:rsidR="006C3A0B">
              <w:instrText>id</w:instrText>
            </w:r>
            <w:r w:rsidR="00A1583D" w:rsidRPr="00D116FF">
              <w:instrText>x</w:instrText>
            </w:r>
            <w:r w:rsidR="00A1583D">
              <w:instrText>.name</w:instrText>
            </w:r>
            <w:r>
              <w:fldChar w:fldCharType="end"/>
            </w:r>
          </w:p>
          <w:p w:rsidR="006C3A0B" w:rsidRDefault="00E11BE2" w:rsidP="006C3A0B">
            <w:pPr>
              <w:widowControl w:val="0"/>
              <w:adjustRightInd w:val="0"/>
            </w:pPr>
            <w:r>
              <w:fldChar w:fldCharType="begin"/>
            </w:r>
            <w:r w:rsidR="006C3A0B">
              <w:instrText>m:endfor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22502B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 w:rsidR="00721085">
        <w:instrText>:endfor</w:instrText>
      </w:r>
      <w:r>
        <w:fldChar w:fldCharType="end"/>
      </w:r>
    </w:p>
    <w:p w:rsidR="00FC1A45" w:rsidRDefault="00E11BE2" w:rsidP="000800C8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E11BE2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 w:rsidR="00FC1A45"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 w:rsidR="00E11BE2">
        <w:fldChar w:fldCharType="begin"/>
      </w:r>
      <w:r w:rsidR="00A770B6">
        <w:instrText>m:view.name</w:instrText>
      </w:r>
      <w:r w:rsidR="00E11BE2">
        <w:fldChar w:fldCharType="end"/>
      </w:r>
    </w:p>
    <w:tbl>
      <w:tblPr>
        <w:tblStyle w:val="Grilledutableau"/>
        <w:tblW w:w="0" w:type="auto"/>
        <w:tblInd w:w="1852" w:type="dxa"/>
        <w:tblLook w:val="04A0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</w:instrText>
            </w:r>
            <w:r w:rsidR="00FC1A45"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</w:tbl>
    <w:p w:rsidR="00FC1A45" w:rsidRDefault="00E11BE2" w:rsidP="00FC1A45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E11BE2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 | schema</w:instrText>
      </w:r>
      <w:r w:rsidR="00FC1A45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E11BE2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 w:rsidR="005E3EB7">
        <w:instrText>:endfor</w:instrText>
      </w:r>
      <w:r>
        <w:fldChar w:fldCharType="end"/>
      </w:r>
    </w:p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5091F">
        <w:rPr>
          <w:noProof/>
        </w:rPr>
        <w:t>23/01/2023</w:t>
      </w:r>
    </w:fldSimple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 w:rsidR="00E11BE2">
      <w:fldChar w:fldCharType="begin"/>
    </w:r>
    <w:r>
      <w:instrText>m:db.name</w:instrText>
    </w:r>
    <w:r w:rsidR="00E11BE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3.2.2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