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>
        <w:rPr>
          <w:sz w:val="24"/>
          <w:szCs w:val="24"/>
        </w:rPr>
        <w:t>r</w:t>
      </w:r>
      <w:r w:rsidR="007B65B7" w:rsidRPr="009B6BD9">
        <w:rPr>
          <w:sz w:val="24"/>
          <w:szCs w:val="24"/>
        </w:rPr>
        <w:t>epresentation</w:t>
      </w:r>
      <w:r w:rsidR="007B65B7">
        <w:rPr>
          <w:sz w:val="24"/>
          <w:szCs w:val="24"/>
        </w:rPr>
        <w:t>By</w:t>
      </w:r>
      <w:r w:rsidR="007B65B7" w:rsidRPr="009B6BD9">
        <w:rPr>
          <w:sz w:val="24"/>
          <w:szCs w:val="24"/>
        </w:rPr>
        <w:t>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R="00A10D75" w:rsidRDefault="00474E78" w:rsidP="00340939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C53443">
        <w:rPr>
          <w:sz w:val="24"/>
          <w:szCs w:val="24"/>
        </w:rPr>
        <w:t>anydsl class diagram</w:t>
      </w:r>
    </w:p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2019-12-30T10:58:00Z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