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0E5422">
        <w:rPr>
          <w:sz w:val="24"/>
          <w:szCs w:val="24"/>
          <w:lang w:val="en-US"/>
        </w:rPr>
        <w:t xml:space="preserve">This demonstrate the simple usage of </w:t>
      </w:r>
      <w:r w:rsidR="003141BA" w:rsidRPr="000E5422">
        <w:rPr>
          <w:sz w:val="24"/>
          <w:szCs w:val="24"/>
          <w:lang w:val="en-US"/>
        </w:rPr>
        <w:t>isRepresentationDescriptionName</w:t>
      </w:r>
      <w:r w:rsidR="003141BA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3141BA">
        <w:rPr>
          <w:sz w:val="24"/>
          <w:szCs w:val="24"/>
        </w:rPr>
        <w:t/>
        <w:drawing>
          <wp:inline distT="0" distR="0" distB="0" distL="0">
            <wp:extent cx="3810000" cy="1549400"/>
            <wp:docPr id="0" name="Drawing 0" descr="file:/tmp/anydsl%20class%20diagram_copy-m2doc1361947934751380511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13619479347513805111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28</Words>
  <Characters>159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