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This demonstrate the simple usage of </w:t>
      </w:r>
      <w:r w:rsidR="00C53443">
        <w:rPr>
          <w:sz w:val="24"/>
          <w:szCs w:val="24"/>
        </w:rPr>
        <w:t>isRepresentationName service</w:t>
      </w:r>
      <w:r>
        <w:rPr>
          <w:sz w:val="24"/>
          <w:szCs w:val="24"/>
        </w:rPr>
        <w:t> :</w:t>
      </w:r>
    </w:p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bookmarkStart w:id="0" w:name="_GoBack"/>
      <w:bookmarkEnd w:id="0"/>
      <w:r w:rsidR="00C53443">
        <w:rPr>
          <w:sz w:val="24"/>
          <w:szCs w:val="24"/>
        </w:rPr>
        <w:t>true</w:t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r>
        <w:rPr>
          <w:sz w:val="24"/>
          <w:szCs w:val="24"/>
        </w:rPr>
        <w:t>End of demonstration.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2213E-D5B0-47B4-BCC3-5CEB4FC20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22</Words>
  <Characters>121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2017-04-12T14:00:00Z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