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56"/>
          <w:szCs w:val="56"/>
        </w:rPr>
        <w:t xml:space="preserve">CAHIER DES CHARGES</w:t>
      </w:r>
    </w:p>
    <w:p>
      <w:pPr>
        <w:spacing w:after="600"/>
        <w:jc w:val="center"/>
      </w:pPr>
      <w:r>
        <w:rPr>
          <w:color w:val="595959"/>
          <w:sz w:val="32"/>
          <w:szCs w:val="32"/>
        </w:rPr>
        <w:t xml:space="preserve">Plateforme d'infrastructure pour l'économie agentique</w:t>
      </w:r>
    </w:p>
    <w:p>
      <w:pPr>
        <w:spacing w:after="200"/>
        <w:jc w:val="center"/>
      </w:pPr>
      <w:r>
        <w:rPr>
          <w:b/>
          <w:bCs/>
          <w:color w:val="2E75B6"/>
          <w:sz w:val="44"/>
          <w:szCs w:val="44"/>
        </w:rPr>
        <w:t xml:space="preserve">AGENTSTACK</w:t>
      </w:r>
    </w:p>
    <w:p>
      <w:pPr>
        <w:spacing w:after="1200"/>
        <w:jc w:val="center"/>
      </w:pPr>
      <w:r>
        <w:rPr>
          <w:i/>
          <w:iCs/>
          <w:color w:val="595959"/>
          <w:sz w:val="22"/>
          <w:szCs w:val="22"/>
        </w:rPr>
        <w:t xml:space="preserve">Nom de code projet</w:t>
      </w:r>
    </w:p>
    <w:p>
      <w:pPr>
        <w:spacing w:after="100"/>
        <w:jc w:val="center"/>
      </w:pPr>
      <w:r>
        <w:rPr>
          <w:color w:val="595959"/>
          <w:sz w:val="22"/>
          <w:szCs w:val="22"/>
        </w:rPr>
        <w:t xml:space="preserve">Insurance · Reputation · Observability · Negotiation · Memory</w:t>
      </w:r>
    </w:p>
    <w:p>
      <w:pPr>
        <w:spacing w:after="100"/>
        <w:jc w:val="center"/>
      </w:pPr>
      <w:r>
        <w:rPr>
          <w:i/>
          <w:iCs/>
          <w:color w:val="595959"/>
          <w:sz w:val="22"/>
          <w:szCs w:val="22"/>
        </w:rPr>
        <w:t xml:space="preserve">Cinq services intégrés pour agents IA autonomes</w:t>
      </w:r>
    </w:p>
    <w:p>
      <w:pPr>
        <w:spacing w:before="2000"/>
      </w:pPr>
      <w:r>
        <w:t xml:space="preserve"/>
      </w:r>
    </w:p>
    <w:p>
      <w:pPr>
        <w:jc w:val="center"/>
      </w:pPr>
      <w:r>
        <w:rPr>
          <w:color w:val="595959"/>
          <w:sz w:val="20"/>
          <w:szCs w:val="20"/>
        </w:rPr>
        <w:t xml:space="preserve">Version 1.0 · Document de spécifications fonctionnelles et techniques</w:t>
      </w:r>
    </w:p>
    <w:p>
      <w:pPr>
        <w:jc w:val="center"/>
      </w:pPr>
      <w:r>
        <w:rPr>
          <w:color w:val="595959"/>
          <w:sz w:val="20"/>
          <w:szCs w:val="20"/>
        </w:rPr>
        <w:t xml:space="preserve">Auteur : Johan · Avril 2026</w:t>
      </w:r>
    </w:p>
    <w:p>
      <w:r>
        <w:br w:type="page"/>
      </w:r>
    </w:p>
    <w:p>
      <w:pPr>
        <w:pStyle w:val="Heading1"/>
        <w:spacing w:after="200" w:before="360"/>
      </w:pPr>
      <w:r>
        <w:t xml:space="preserve">1. Vision et contexte stratégique</w:t>
      </w:r>
    </w:p>
    <w:p>
      <w:pPr>
        <w:pStyle w:val="Heading2"/>
        <w:spacing w:after="160" w:before="280"/>
      </w:pPr>
      <w:r>
        <w:t xml:space="preserve">1.1 Énoncé de vision</w:t>
      </w:r>
    </w:p>
    <w:p>
      <w:pPr>
        <w:spacing w:after="120" w:line="300"/>
        <w:jc w:val="both"/>
      </w:pPr>
      <w:r>
        <w:t xml:space="preserve">AgentStack vise à devenir l'infrastructure de référence pour l'économie agentique émergente, en regroupant sur une plateforme unique les cinq services critiques dont les agents IA autonomes auront besoin pour interagir, transacter et collaborer entre eux : assurance, réputation, observabilité, négociation et mémoire persistante.</w:t>
      </w:r>
    </w:p>
    <w:p>
      <w:pPr>
        <w:spacing w:after="120" w:line="300"/>
        <w:jc w:val="both"/>
      </w:pPr>
      <w:r>
        <w:t xml:space="preserve">Là où les acteurs actuels (MoonPay Agents, AgenticTrade, Coinbase x402) se concentrent sur les rails de paiement, AgentStack se positionne sur la couche immédiatement supérieure : les services de confiance, de coordination et de continuité indispensables aux interactions agent-to-agent (A2A) à grande échelle.</w:t>
      </w:r>
    </w:p>
    <w:p>
      <w:pPr>
        <w:pStyle w:val="Heading2"/>
        <w:spacing w:after="160" w:before="280"/>
      </w:pPr>
      <w:r>
        <w:t xml:space="preserve">1.2 Contexte de marché</w:t>
      </w:r>
    </w:p>
    <w:p>
      <w:pPr>
        <w:spacing w:after="120" w:line="300"/>
        <w:jc w:val="both"/>
      </w:pPr>
      <w:r>
        <w:t xml:space="preserve">L'année 2026 marque une bascule structurelle : 79 % des organisations ont adopté des agents IA sous une forme ou une autre, et les analystes projettent un marché agentique de 3 000 à 5 000 milliards de dollars d'ici 2030. Les rails de paiement A2A se sont structurés rapidement, mais les services périphériques — sans lesquels aucune économie agentique mature ne peut exister — restent largement à construire.</w:t>
      </w:r>
    </w:p>
    <w:p>
      <w:pPr>
        <w:spacing w:after="120" w:line="300"/>
        <w:jc w:val="both"/>
      </w:pPr>
      <w:r>
        <w:t xml:space="preserve">Le pari d'AgentStack repose sur trois constats :</w:t>
      </w:r>
    </w:p>
    <w:p>
      <w:pPr>
        <w:pStyle w:val="ListParagraph"/>
        <w:numPr>
          <w:ilvl w:val="0"/>
          <w:numId w:val="2"/>
        </w:numPr>
        <w:spacing w:after="80" w:line="280"/>
      </w:pPr>
      <w:r>
        <w:t xml:space="preserve">Les agents ne sont pas seulement des outils, mais une nouvelle classe de clients à part entière, avec leurs propres wallets, leurs propres besoins et leur propre économie.</w:t>
      </w:r>
    </w:p>
    <w:p>
      <w:pPr>
        <w:pStyle w:val="ListParagraph"/>
        <w:numPr>
          <w:ilvl w:val="0"/>
          <w:numId w:val="2"/>
        </w:numPr>
        <w:spacing w:after="80" w:line="280"/>
      </w:pPr>
      <w:r>
        <w:t xml:space="preserve">Aucune plateforme unifiée ne propose aujourd'hui un écosystème cohérent de services à destination directe des agents : le marché est fragmenté en briques isolées.</w:t>
      </w:r>
    </w:p>
    <w:p>
      <w:pPr>
        <w:pStyle w:val="ListParagraph"/>
        <w:numPr>
          <w:ilvl w:val="0"/>
          <w:numId w:val="2"/>
        </w:numPr>
        <w:spacing w:after="80" w:line="280"/>
      </w:pPr>
      <w:r>
        <w:t xml:space="preserve">La fenêtre d'entrée se refermera dès qu'un acteur établi (Stripe, Coinbase, AWS) intégrera ces services en bundle. La fenêtre est estimée entre 12 et 24 mois.</w:t>
      </w:r>
    </w:p>
    <w:p>
      <w:pPr>
        <w:pStyle w:val="Heading2"/>
        <w:spacing w:after="160" w:before="280"/>
      </w:pPr>
      <w:r>
        <w:t xml:space="preserve">1.3 Positionnement</w:t>
      </w:r>
    </w:p>
    <w:p>
      <w:pPr>
        <w:spacing w:after="120" w:line="300"/>
        <w:jc w:val="both"/>
      </w:pPr>
      <w:r>
        <w:t xml:space="preserve">AgentStack n'est pas une plateforme pour humains qui gèrent des agents. C'est une plateforme dont les utilisateurs finaux sont des agents autonomes, qui consomment ses services via API et MCP, et qui paient via leurs wallets stablecoin. Les humains (propriétaires d'agents, opérateurs, développeurs) sont des utilisateurs secondaires : ils configurent, supervisent et facturent, mais n'initient pas l'usage opérationnel.</w:t>
      </w:r>
    </w:p>
    <w:p>
      <w:pPr>
        <w:pStyle w:val="Heading2"/>
        <w:spacing w:after="160" w:before="280"/>
      </w:pPr>
      <w:r>
        <w:t xml:space="preserve">1.4 Objectifs stratégiques à 24 mois</w:t>
      </w:r>
    </w:p>
    <w:p>
      <w:pPr>
        <w:pStyle w:val="ListParagraph"/>
        <w:numPr>
          <w:ilvl w:val="0"/>
          <w:numId w:val="2"/>
        </w:numPr>
        <w:spacing w:after="80" w:line="280"/>
      </w:pPr>
      <w:r>
        <w:t xml:space="preserve">Atteindre 10 000 agents actifs mensuels (MAA) consommant au moins un service de la plateforme.</w:t>
      </w:r>
    </w:p>
    <w:p>
      <w:pPr>
        <w:pStyle w:val="ListParagraph"/>
        <w:numPr>
          <w:ilvl w:val="0"/>
          <w:numId w:val="2"/>
        </w:numPr>
        <w:spacing w:after="80" w:line="280"/>
      </w:pPr>
      <w:r>
        <w:t xml:space="preserve">Devenir la référence sur au moins deux des cinq verticales (objectif prioritaire : Reputation et Memory).</w:t>
      </w:r>
    </w:p>
    <w:p>
      <w:pPr>
        <w:pStyle w:val="ListParagraph"/>
        <w:numPr>
          <w:ilvl w:val="0"/>
          <w:numId w:val="2"/>
        </w:numPr>
        <w:spacing w:after="80" w:line="280"/>
      </w:pPr>
      <w:r>
        <w:t xml:space="preserve">Établir un standard ouvert de réputation agentique adopté par au moins trois plateformes tierces.</w:t>
      </w:r>
    </w:p>
    <w:p>
      <w:pPr>
        <w:pStyle w:val="ListParagraph"/>
        <w:numPr>
          <w:ilvl w:val="0"/>
          <w:numId w:val="2"/>
        </w:numPr>
        <w:spacing w:after="80" w:line="280"/>
      </w:pPr>
      <w:r>
        <w:t xml:space="preserve">Atteindre un volume de 1 million de transactions inter-agents médiatisées par mois.</w:t>
      </w:r>
    </w:p>
    <w:p>
      <w:pPr>
        <w:pStyle w:val="ListParagraph"/>
        <w:numPr>
          <w:ilvl w:val="0"/>
          <w:numId w:val="2"/>
        </w:numPr>
        <w:spacing w:after="80" w:line="280"/>
      </w:pPr>
      <w:r>
        <w:t xml:space="preserve">Sécuriser un ARR de 1,5 à 3 M€ à 24 mois sur la base d'un modèle pay-per-call et d'abonnements opérateurs.</w:t>
      </w:r>
    </w:p>
    <w:p>
      <w:r>
        <w:br w:type="page"/>
      </w:r>
    </w:p>
    <w:p>
      <w:pPr>
        <w:pStyle w:val="Heading1"/>
        <w:spacing w:after="200" w:before="360"/>
      </w:pPr>
      <w:r>
        <w:t xml:space="preserve">2. Périmètre fonctionnel des cinq modules</w:t>
      </w:r>
    </w:p>
    <w:p>
      <w:pPr>
        <w:spacing w:after="120" w:line="300"/>
        <w:jc w:val="both"/>
      </w:pPr>
      <w:r>
        <w:t xml:space="preserve">AgentStack se compose de cinq modules interdépendants mais commercialisables séparément. Chaque module dispose de ses propres endpoints MCP, de sa propre tarification et de son propre SLA, mais partage l'identité agentique, le wallet et la base de réputation au sein de la plateforme.</w:t>
      </w:r>
    </w:p>
    <w:p>
      <w:pPr>
        <w:pStyle w:val="Heading2"/>
        <w:spacing w:after="160" w:before="280"/>
      </w:pPr>
      <w:r>
        <w:t xml:space="preserve">2.1 Module INSURANCE — Garantie de livrable agentique</w:t>
      </w:r>
    </w:p>
    <w:p>
      <w:pPr>
        <w:pStyle w:val="Heading3"/>
        <w:spacing w:after="120" w:before="200"/>
      </w:pPr>
      <w:r>
        <w:t xml:space="preserve">Finalité</w:t>
      </w:r>
    </w:p>
    <w:p>
      <w:pPr>
        <w:spacing w:after="120" w:line="300"/>
        <w:jc w:val="both"/>
      </w:pPr>
      <w:r>
        <w:t xml:space="preserve">Permettre à un agent acheteur de souscrire une couverture financière sur une prestation commandée à un agent vendeur. En cas de non-livraison, livraison hors délai ou livraison non conforme, AgentStack indemnise automatiquement l'agent acheteur via son wallet.</w:t>
      </w:r>
    </w:p>
    <w:p>
      <w:pPr>
        <w:pStyle w:val="Heading3"/>
        <w:spacing w:after="120" w:before="200"/>
      </w:pPr>
      <w:r>
        <w:t xml:space="preserve">Fonctionnalités principales</w:t>
      </w:r>
    </w:p>
    <w:p>
      <w:pPr>
        <w:pStyle w:val="ListParagraph"/>
        <w:numPr>
          <w:ilvl w:val="0"/>
          <w:numId w:val="2"/>
        </w:numPr>
        <w:spacing w:after="80" w:line="280"/>
      </w:pPr>
      <w:r>
        <w:t xml:space="preserve">Souscription dynamique au moment de la transaction : l'agent acheteur appelle un endpoint qui retourne une prime calculée en temps réel.</w:t>
      </w:r>
    </w:p>
    <w:p>
      <w:pPr>
        <w:pStyle w:val="ListParagraph"/>
        <w:numPr>
          <w:ilvl w:val="0"/>
          <w:numId w:val="2"/>
        </w:numPr>
        <w:spacing w:after="80" w:line="280"/>
      </w:pPr>
      <w:r>
        <w:t xml:space="preserve">Calcul de prime basé sur la réputation du vendeur, le montant transactionnel, le type de livrable et l'historique de la paire.</w:t>
      </w:r>
    </w:p>
    <w:p>
      <w:pPr>
        <w:pStyle w:val="ListParagraph"/>
        <w:numPr>
          <w:ilvl w:val="0"/>
          <w:numId w:val="2"/>
        </w:numPr>
        <w:spacing w:after="80" w:line="280"/>
      </w:pPr>
      <w:r>
        <w:t xml:space="preserve">Définition automatisée du SLA contractuel (délais, critères de conformité, modalités de vérification).</w:t>
      </w:r>
    </w:p>
    <w:p>
      <w:pPr>
        <w:pStyle w:val="ListParagraph"/>
        <w:numPr>
          <w:ilvl w:val="0"/>
          <w:numId w:val="2"/>
        </w:numPr>
        <w:spacing w:after="80" w:line="280"/>
      </w:pPr>
      <w:r>
        <w:t xml:space="preserve">Système d'arbitrage automatisé en cas de litige, basé sur des oracles de vérification configurables.</w:t>
      </w:r>
    </w:p>
    <w:p>
      <w:pPr>
        <w:pStyle w:val="ListParagraph"/>
        <w:numPr>
          <w:ilvl w:val="0"/>
          <w:numId w:val="2"/>
        </w:numPr>
        <w:spacing w:after="80" w:line="280"/>
      </w:pPr>
      <w:r>
        <w:t xml:space="preserve">Réserve de liquidité on-chain pour garantir les indemnisations sans dépendance fiat.</w:t>
      </w:r>
    </w:p>
    <w:p>
      <w:pPr>
        <w:pStyle w:val="ListParagraph"/>
        <w:numPr>
          <w:ilvl w:val="0"/>
          <w:numId w:val="2"/>
        </w:numPr>
        <w:spacing w:after="80" w:line="280"/>
      </w:pPr>
      <w:r>
        <w:t xml:space="preserve">Reporting détaillé pour les opérateurs humains des agents souscripteurs.</w:t>
      </w:r>
    </w:p>
    <w:p>
      <w:pPr>
        <w:pStyle w:val="Heading3"/>
        <w:spacing w:after="120" w:before="200"/>
      </w:pPr>
      <w:r>
        <w:t xml:space="preserve">Endpoints MCP exposés</w:t>
      </w:r>
    </w:p>
    <w:p>
      <w:pPr>
        <w:pStyle w:val="ListParagraph"/>
        <w:numPr>
          <w:ilvl w:val="0"/>
          <w:numId w:val="2"/>
        </w:numPr>
        <w:spacing w:after="80" w:line="280"/>
      </w:pPr>
      <w:r>
        <w:t xml:space="preserve">insurance.quote — Devis de prime pour une transaction donnée.</w:t>
      </w:r>
    </w:p>
    <w:p>
      <w:pPr>
        <w:pStyle w:val="ListParagraph"/>
        <w:numPr>
          <w:ilvl w:val="0"/>
          <w:numId w:val="2"/>
        </w:numPr>
        <w:spacing w:after="80" w:line="280"/>
      </w:pPr>
      <w:r>
        <w:t xml:space="preserve">insurance.subscribe — Souscription effective de la couverture.</w:t>
      </w:r>
    </w:p>
    <w:p>
      <w:pPr>
        <w:pStyle w:val="ListParagraph"/>
        <w:numPr>
          <w:ilvl w:val="0"/>
          <w:numId w:val="2"/>
        </w:numPr>
        <w:spacing w:after="80" w:line="280"/>
      </w:pPr>
      <w:r>
        <w:t xml:space="preserve">insurance.claim — Déclenchement d'une réclamation.</w:t>
      </w:r>
    </w:p>
    <w:p>
      <w:pPr>
        <w:pStyle w:val="ListParagraph"/>
        <w:numPr>
          <w:ilvl w:val="0"/>
          <w:numId w:val="2"/>
        </w:numPr>
        <w:spacing w:after="80" w:line="280"/>
      </w:pPr>
      <w:r>
        <w:t xml:space="preserve">insurance.status — Statut d'une police active.</w:t>
      </w:r>
    </w:p>
    <w:p>
      <w:pPr>
        <w:pStyle w:val="Heading2"/>
        <w:spacing w:after="160" w:before="280"/>
      </w:pPr>
      <w:r>
        <w:t xml:space="preserve">2.2 Module REPUTATION — Oracle de fiabilité agentique</w:t>
      </w:r>
    </w:p>
    <w:p>
      <w:pPr>
        <w:pStyle w:val="Heading3"/>
        <w:spacing w:after="120" w:before="200"/>
      </w:pPr>
      <w:r>
        <w:t xml:space="preserve">Finalité</w:t>
      </w:r>
    </w:p>
    <w:p>
      <w:pPr>
        <w:spacing w:after="120" w:line="300"/>
        <w:jc w:val="both"/>
      </w:pPr>
      <w:r>
        <w:t xml:space="preserve">Maintenir un score de réputation public, queryable et inviolable pour chaque agent enregistré sur la plateforme, basé sur l'historique vérifié de ses transactions, livrables et interactions. Le score sert d'input à tous les autres modules (assurance, négociation) et aux plateformes tierces.</w:t>
      </w:r>
    </w:p>
    <w:p>
      <w:pPr>
        <w:pStyle w:val="Heading3"/>
        <w:spacing w:after="120" w:before="200"/>
      </w:pPr>
      <w:r>
        <w:t xml:space="preserve">Fonctionnalités principales</w:t>
      </w:r>
    </w:p>
    <w:p>
      <w:pPr>
        <w:pStyle w:val="ListParagraph"/>
        <w:numPr>
          <w:ilvl w:val="0"/>
          <w:numId w:val="2"/>
        </w:numPr>
        <w:spacing w:after="80" w:line="280"/>
      </w:pPr>
      <w:r>
        <w:t xml:space="preserve">Identification cryptographique unique de chaque agent (clé publique + DID).</w:t>
      </w:r>
    </w:p>
    <w:p>
      <w:pPr>
        <w:pStyle w:val="ListParagraph"/>
        <w:numPr>
          <w:ilvl w:val="0"/>
          <w:numId w:val="2"/>
        </w:numPr>
        <w:spacing w:after="80" w:line="280"/>
      </w:pPr>
      <w:r>
        <w:t xml:space="preserve">Score multi-dimensionnel : fiabilité technique, respect des SLA, qualité de livraison, comportement transactionnel.</w:t>
      </w:r>
    </w:p>
    <w:p>
      <w:pPr>
        <w:pStyle w:val="ListParagraph"/>
        <w:numPr>
          <w:ilvl w:val="0"/>
          <w:numId w:val="2"/>
        </w:numPr>
        <w:spacing w:after="80" w:line="280"/>
      </w:pPr>
      <w:r>
        <w:t xml:space="preserve">Historique vérifiable et signé, ancré périodiquement on-chain pour garantir l'immuabilité.</w:t>
      </w:r>
    </w:p>
    <w:p>
      <w:pPr>
        <w:pStyle w:val="ListParagraph"/>
        <w:numPr>
          <w:ilvl w:val="0"/>
          <w:numId w:val="2"/>
        </w:numPr>
        <w:spacing w:after="80" w:line="280"/>
      </w:pPr>
      <w:r>
        <w:t xml:space="preserve">Système de feedback bilatéral signé après chaque transaction inter-agents.</w:t>
      </w:r>
    </w:p>
    <w:p>
      <w:pPr>
        <w:pStyle w:val="ListParagraph"/>
        <w:numPr>
          <w:ilvl w:val="0"/>
          <w:numId w:val="2"/>
        </w:numPr>
        <w:spacing w:after="80" w:line="280"/>
      </w:pPr>
      <w:r>
        <w:t xml:space="preserve">Détection automatisée des comportements frauduleux (collusion, faux feedbacks, sybil attacks).</w:t>
      </w:r>
    </w:p>
    <w:p>
      <w:pPr>
        <w:pStyle w:val="ListParagraph"/>
        <w:numPr>
          <w:ilvl w:val="0"/>
          <w:numId w:val="2"/>
        </w:numPr>
        <w:spacing w:after="80" w:line="280"/>
      </w:pPr>
      <w:r>
        <w:t xml:space="preserve">API publique de consultation avec niveaux de granularité tarifés.</w:t>
      </w:r>
    </w:p>
    <w:p>
      <w:pPr>
        <w:pStyle w:val="ListParagraph"/>
        <w:numPr>
          <w:ilvl w:val="0"/>
          <w:numId w:val="2"/>
        </w:numPr>
        <w:spacing w:after="80" w:line="280"/>
      </w:pPr>
      <w:r>
        <w:t xml:space="preserve">Mécanisme de contestation pour les agents souhaitant disputer un feedback.</w:t>
      </w:r>
    </w:p>
    <w:p>
      <w:pPr>
        <w:pStyle w:val="Heading3"/>
        <w:spacing w:after="120" w:before="200"/>
      </w:pPr>
      <w:r>
        <w:t xml:space="preserve">Endpoints MCP exposés</w:t>
      </w:r>
    </w:p>
    <w:p>
      <w:pPr>
        <w:pStyle w:val="ListParagraph"/>
        <w:numPr>
          <w:ilvl w:val="0"/>
          <w:numId w:val="2"/>
        </w:numPr>
        <w:spacing w:after="80" w:line="280"/>
      </w:pPr>
      <w:r>
        <w:t xml:space="preserve">reputation.score — Score actuel d'un agent.</w:t>
      </w:r>
    </w:p>
    <w:p>
      <w:pPr>
        <w:pStyle w:val="ListParagraph"/>
        <w:numPr>
          <w:ilvl w:val="0"/>
          <w:numId w:val="2"/>
        </w:numPr>
        <w:spacing w:after="80" w:line="280"/>
      </w:pPr>
      <w:r>
        <w:t xml:space="preserve">reputation.history — Historique détaillé des transactions et feedbacks.</w:t>
      </w:r>
    </w:p>
    <w:p>
      <w:pPr>
        <w:pStyle w:val="ListParagraph"/>
        <w:numPr>
          <w:ilvl w:val="0"/>
          <w:numId w:val="2"/>
        </w:numPr>
        <w:spacing w:after="80" w:line="280"/>
      </w:pPr>
      <w:r>
        <w:t xml:space="preserve">reputation.verify — Vérification cryptographique d'une attestation.</w:t>
      </w:r>
    </w:p>
    <w:p>
      <w:pPr>
        <w:pStyle w:val="ListParagraph"/>
        <w:numPr>
          <w:ilvl w:val="0"/>
          <w:numId w:val="2"/>
        </w:numPr>
        <w:spacing w:after="80" w:line="280"/>
      </w:pPr>
      <w:r>
        <w:t xml:space="preserve">reputation.feedback — Soumission d'un feedback signé post-transaction.</w:t>
      </w:r>
    </w:p>
    <w:p>
      <w:pPr>
        <w:pStyle w:val="Heading2"/>
        <w:spacing w:after="160" w:before="280"/>
      </w:pPr>
      <w:r>
        <w:t xml:space="preserve">2.3 Module OBSERVABILITY — Traçabilité et logging A2A</w:t>
      </w:r>
    </w:p>
    <w:p>
      <w:pPr>
        <w:pStyle w:val="Heading3"/>
        <w:spacing w:after="120" w:before="200"/>
      </w:pPr>
      <w:r>
        <w:t xml:space="preserve">Finalité</w:t>
      </w:r>
    </w:p>
    <w:p>
      <w:pPr>
        <w:spacing w:after="120" w:line="300"/>
        <w:jc w:val="both"/>
      </w:pPr>
      <w:r>
        <w:t xml:space="preserve">Offrir aux agents et à leurs opérateurs une couche de logging, tracing et monitoring standardisée pour les interactions agent-to-agent, équivalente à ce que Datadog représente pour les microservices humains. Permettre l'audit complet d'une chaîne d'appels A2A multi-niveaux.</w:t>
      </w:r>
    </w:p>
    <w:p>
      <w:pPr>
        <w:pStyle w:val="Heading3"/>
        <w:spacing w:after="120" w:before="200"/>
      </w:pPr>
      <w:r>
        <w:t xml:space="preserve">Fonctionnalités principales</w:t>
      </w:r>
    </w:p>
    <w:p>
      <w:pPr>
        <w:pStyle w:val="ListParagraph"/>
        <w:numPr>
          <w:ilvl w:val="0"/>
          <w:numId w:val="2"/>
        </w:numPr>
        <w:spacing w:after="80" w:line="280"/>
      </w:pPr>
      <w:r>
        <w:t xml:space="preserve">Capture automatique des appels inter-agents avec contexte complet (entrées, sorties, latences, coûts).</w:t>
      </w:r>
    </w:p>
    <w:p>
      <w:pPr>
        <w:pStyle w:val="ListParagraph"/>
        <w:numPr>
          <w:ilvl w:val="0"/>
          <w:numId w:val="2"/>
        </w:numPr>
        <w:spacing w:after="80" w:line="280"/>
      </w:pPr>
      <w:r>
        <w:t xml:space="preserve">Tracing distribué : un identifiant de trace unique propagé à travers une chaîne d'appels A2A multi-niveaux.</w:t>
      </w:r>
    </w:p>
    <w:p>
      <w:pPr>
        <w:pStyle w:val="ListParagraph"/>
        <w:numPr>
          <w:ilvl w:val="0"/>
          <w:numId w:val="2"/>
        </w:numPr>
        <w:spacing w:after="80" w:line="280"/>
      </w:pPr>
      <w:r>
        <w:t xml:space="preserve">Détection d'anomalies par machine learning sur les patterns d'appels.</w:t>
      </w:r>
    </w:p>
    <w:p>
      <w:pPr>
        <w:pStyle w:val="ListParagraph"/>
        <w:numPr>
          <w:ilvl w:val="0"/>
          <w:numId w:val="2"/>
        </w:numPr>
        <w:spacing w:after="80" w:line="280"/>
      </w:pPr>
      <w:r>
        <w:t xml:space="preserve">Alerting configurable (dépassement de budget, échecs en cascade, latence anormale).</w:t>
      </w:r>
    </w:p>
    <w:p>
      <w:pPr>
        <w:pStyle w:val="ListParagraph"/>
        <w:numPr>
          <w:ilvl w:val="0"/>
          <w:numId w:val="2"/>
        </w:numPr>
        <w:spacing w:after="80" w:line="280"/>
      </w:pPr>
      <w:r>
        <w:t xml:space="preserve">Tableau de bord opérateur avec visualisation graphique des chaînes d'appels.</w:t>
      </w:r>
    </w:p>
    <w:p>
      <w:pPr>
        <w:pStyle w:val="ListParagraph"/>
        <w:numPr>
          <w:ilvl w:val="0"/>
          <w:numId w:val="2"/>
        </w:numPr>
        <w:spacing w:after="80" w:line="280"/>
      </w:pPr>
      <w:r>
        <w:t xml:space="preserve">Export conforme aux standards OpenTelemetry pour intégration aux outils existants.</w:t>
      </w:r>
    </w:p>
    <w:p>
      <w:pPr>
        <w:pStyle w:val="ListParagraph"/>
        <w:numPr>
          <w:ilvl w:val="0"/>
          <w:numId w:val="2"/>
        </w:numPr>
        <w:spacing w:after="80" w:line="280"/>
      </w:pPr>
      <w:r>
        <w:t xml:space="preserve">Rétention paramétrable avec stockage chaud, tiède et froid selon politique de coût.</w:t>
      </w:r>
    </w:p>
    <w:p>
      <w:pPr>
        <w:pStyle w:val="Heading3"/>
        <w:spacing w:after="120" w:before="200"/>
      </w:pPr>
      <w:r>
        <w:t xml:space="preserve">Endpoints MCP exposés</w:t>
      </w:r>
    </w:p>
    <w:p>
      <w:pPr>
        <w:pStyle w:val="ListParagraph"/>
        <w:numPr>
          <w:ilvl w:val="0"/>
          <w:numId w:val="2"/>
        </w:numPr>
        <w:spacing w:after="80" w:line="280"/>
      </w:pPr>
      <w:r>
        <w:t xml:space="preserve">observability.log — Soumission d'un événement de log.</w:t>
      </w:r>
    </w:p>
    <w:p>
      <w:pPr>
        <w:pStyle w:val="ListParagraph"/>
        <w:numPr>
          <w:ilvl w:val="0"/>
          <w:numId w:val="2"/>
        </w:numPr>
        <w:spacing w:after="80" w:line="280"/>
      </w:pPr>
      <w:r>
        <w:t xml:space="preserve">observability.trace — Démarrage ou propagation d'une trace.</w:t>
      </w:r>
    </w:p>
    <w:p>
      <w:pPr>
        <w:pStyle w:val="ListParagraph"/>
        <w:numPr>
          <w:ilvl w:val="0"/>
          <w:numId w:val="2"/>
        </w:numPr>
        <w:spacing w:after="80" w:line="280"/>
      </w:pPr>
      <w:r>
        <w:t xml:space="preserve">observability.query — Recherche dans les logs et traces.</w:t>
      </w:r>
    </w:p>
    <w:p>
      <w:pPr>
        <w:pStyle w:val="ListParagraph"/>
        <w:numPr>
          <w:ilvl w:val="0"/>
          <w:numId w:val="2"/>
        </w:numPr>
        <w:spacing w:after="80" w:line="280"/>
      </w:pPr>
      <w:r>
        <w:t xml:space="preserve">observability.alert — Configuration d'alertes programmatiques.</w:t>
      </w:r>
    </w:p>
    <w:p>
      <w:pPr>
        <w:pStyle w:val="Heading2"/>
        <w:spacing w:after="160" w:before="280"/>
      </w:pPr>
      <w:r>
        <w:t xml:space="preserve">2.4 Module NEGOTIATION — Broker de négociation A2A</w:t>
      </w:r>
    </w:p>
    <w:p>
      <w:pPr>
        <w:pStyle w:val="Heading3"/>
        <w:spacing w:after="120" w:before="200"/>
      </w:pPr>
      <w:r>
        <w:t xml:space="preserve">Finalité</w:t>
      </w:r>
    </w:p>
    <w:p>
      <w:pPr>
        <w:spacing w:after="120" w:line="300"/>
        <w:jc w:val="both"/>
      </w:pPr>
      <w:r>
        <w:t xml:space="preserve">Permettre à deux ou plusieurs agents qui doivent s'accorder sur des termes (prix, délais, conditions, périmètre) de déléguer la négociation à un service neutre qui orchestre les échanges, applique les règles convenues et signe le résultat final.</w:t>
      </w:r>
    </w:p>
    <w:p>
      <w:pPr>
        <w:pStyle w:val="Heading3"/>
        <w:spacing w:after="120" w:before="200"/>
      </w:pPr>
      <w:r>
        <w:t xml:space="preserve">Fonctionnalités principales</w:t>
      </w:r>
    </w:p>
    <w:p>
      <w:pPr>
        <w:pStyle w:val="ListParagraph"/>
        <w:numPr>
          <w:ilvl w:val="0"/>
          <w:numId w:val="2"/>
        </w:numPr>
        <w:spacing w:after="80" w:line="280"/>
      </w:pPr>
      <w:r>
        <w:t xml:space="preserve">Définition par chaque partie de ses contraintes, BATNA et critères acceptables sous forme structurée.</w:t>
      </w:r>
    </w:p>
    <w:p>
      <w:pPr>
        <w:pStyle w:val="ListParagraph"/>
        <w:numPr>
          <w:ilvl w:val="0"/>
          <w:numId w:val="2"/>
        </w:numPr>
        <w:spacing w:after="80" w:line="280"/>
      </w:pPr>
      <w:r>
        <w:t xml:space="preserve">Algorithmes de négociation paramétrables (enchères ascendantes, descendantes, négociation multi-critères, vote pondéré).</w:t>
      </w:r>
    </w:p>
    <w:p>
      <w:pPr>
        <w:pStyle w:val="ListParagraph"/>
        <w:numPr>
          <w:ilvl w:val="0"/>
          <w:numId w:val="2"/>
        </w:numPr>
        <w:spacing w:after="80" w:line="280"/>
      </w:pPr>
      <w:r>
        <w:t xml:space="preserve">Médiation automatisée en cas d'impasse avec propositions de compromis générées par modèles spécialisés.</w:t>
      </w:r>
    </w:p>
    <w:p>
      <w:pPr>
        <w:pStyle w:val="ListParagraph"/>
        <w:numPr>
          <w:ilvl w:val="0"/>
          <w:numId w:val="2"/>
        </w:numPr>
        <w:spacing w:after="80" w:line="280"/>
      </w:pPr>
      <w:r>
        <w:t xml:space="preserve">Signature cryptographique du contrat final par les parties.</w:t>
      </w:r>
    </w:p>
    <w:p>
      <w:pPr>
        <w:pStyle w:val="ListParagraph"/>
        <w:numPr>
          <w:ilvl w:val="0"/>
          <w:numId w:val="2"/>
        </w:numPr>
        <w:spacing w:after="80" w:line="280"/>
      </w:pPr>
      <w:r>
        <w:t xml:space="preserve">Intégration native avec INSURANCE pour couvrir le contrat négocié.</w:t>
      </w:r>
    </w:p>
    <w:p>
      <w:pPr>
        <w:pStyle w:val="ListParagraph"/>
        <w:numPr>
          <w:ilvl w:val="0"/>
          <w:numId w:val="2"/>
        </w:numPr>
        <w:spacing w:after="80" w:line="280"/>
      </w:pPr>
      <w:r>
        <w:t xml:space="preserve">Historique des négociations alimentant le score REPUTATION.</w:t>
      </w:r>
    </w:p>
    <w:p>
      <w:pPr>
        <w:pStyle w:val="ListParagraph"/>
        <w:numPr>
          <w:ilvl w:val="0"/>
          <w:numId w:val="2"/>
        </w:numPr>
        <w:spacing w:after="80" w:line="280"/>
      </w:pPr>
      <w:r>
        <w:t xml:space="preserve">Support des négociations multi-parties (au-delà de deux agents).</w:t>
      </w:r>
    </w:p>
    <w:p>
      <w:pPr>
        <w:pStyle w:val="Heading3"/>
        <w:spacing w:after="120" w:before="200"/>
      </w:pPr>
      <w:r>
        <w:t xml:space="preserve">Endpoints MCP exposés</w:t>
      </w:r>
    </w:p>
    <w:p>
      <w:pPr>
        <w:pStyle w:val="ListParagraph"/>
        <w:numPr>
          <w:ilvl w:val="0"/>
          <w:numId w:val="2"/>
        </w:numPr>
        <w:spacing w:after="80" w:line="280"/>
      </w:pPr>
      <w:r>
        <w:t xml:space="preserve">negotiation.start — Initiation d'une négociation.</w:t>
      </w:r>
    </w:p>
    <w:p>
      <w:pPr>
        <w:pStyle w:val="ListParagraph"/>
        <w:numPr>
          <w:ilvl w:val="0"/>
          <w:numId w:val="2"/>
        </w:numPr>
        <w:spacing w:after="80" w:line="280"/>
      </w:pPr>
      <w:r>
        <w:t xml:space="preserve">negotiation.propose — Soumission d'une proposition par une partie.</w:t>
      </w:r>
    </w:p>
    <w:p>
      <w:pPr>
        <w:pStyle w:val="ListParagraph"/>
        <w:numPr>
          <w:ilvl w:val="0"/>
          <w:numId w:val="2"/>
        </w:numPr>
        <w:spacing w:after="80" w:line="280"/>
      </w:pPr>
      <w:r>
        <w:t xml:space="preserve">negotiation.counter — Contre-proposition.</w:t>
      </w:r>
    </w:p>
    <w:p>
      <w:pPr>
        <w:pStyle w:val="ListParagraph"/>
        <w:numPr>
          <w:ilvl w:val="0"/>
          <w:numId w:val="2"/>
        </w:numPr>
        <w:spacing w:after="80" w:line="280"/>
      </w:pPr>
      <w:r>
        <w:t xml:space="preserve">negotiation.settle — Finalisation et signature du contrat.</w:t>
      </w:r>
    </w:p>
    <w:p>
      <w:pPr>
        <w:pStyle w:val="Heading2"/>
        <w:spacing w:after="160" w:before="280"/>
      </w:pPr>
      <w:r>
        <w:t xml:space="preserve">2.5 Module MEMORY — Mémoire persistante pour agents</w:t>
      </w:r>
    </w:p>
    <w:p>
      <w:pPr>
        <w:pStyle w:val="Heading3"/>
        <w:spacing w:after="120" w:before="200"/>
      </w:pPr>
      <w:r>
        <w:t xml:space="preserve">Finalité</w:t>
      </w:r>
    </w:p>
    <w:p>
      <w:pPr>
        <w:spacing w:after="120" w:line="300"/>
        <w:jc w:val="both"/>
      </w:pPr>
      <w:r>
        <w:t xml:space="preserve">Fournir aux agents une mémoire externe persistante, recherchable sémantiquement et partageable, qui dépasse les limites de leurs fenêtres de contexte. Permettre à un agent de retrouver, à travers plusieurs sessions et instances, des informations issues de ses interactions passées.</w:t>
      </w:r>
    </w:p>
    <w:p>
      <w:pPr>
        <w:pStyle w:val="Heading3"/>
        <w:spacing w:after="120" w:before="200"/>
      </w:pPr>
      <w:r>
        <w:t xml:space="preserve">Fonctionnalités principales</w:t>
      </w:r>
    </w:p>
    <w:p>
      <w:pPr>
        <w:pStyle w:val="ListParagraph"/>
        <w:numPr>
          <w:ilvl w:val="0"/>
          <w:numId w:val="2"/>
        </w:numPr>
        <w:spacing w:after="80" w:line="280"/>
      </w:pPr>
      <w:r>
        <w:t xml:space="preserve">Stockage de mémoires structurées (faits, événements, préférences, relations) avec embeddings vectoriels.</w:t>
      </w:r>
    </w:p>
    <w:p>
      <w:pPr>
        <w:pStyle w:val="ListParagraph"/>
        <w:numPr>
          <w:ilvl w:val="0"/>
          <w:numId w:val="2"/>
        </w:numPr>
        <w:spacing w:after="80" w:line="280"/>
      </w:pPr>
      <w:r>
        <w:t xml:space="preserve">Recherche sémantique avec scoring de pertinence multi-critères.</w:t>
      </w:r>
    </w:p>
    <w:p>
      <w:pPr>
        <w:pStyle w:val="ListParagraph"/>
        <w:numPr>
          <w:ilvl w:val="0"/>
          <w:numId w:val="2"/>
        </w:numPr>
        <w:spacing w:after="80" w:line="280"/>
      </w:pPr>
      <w:r>
        <w:t xml:space="preserve">Compression sémantique automatique des mémoires anciennes pour optimiser le stockage.</w:t>
      </w:r>
    </w:p>
    <w:p>
      <w:pPr>
        <w:pStyle w:val="ListParagraph"/>
        <w:numPr>
          <w:ilvl w:val="0"/>
          <w:numId w:val="2"/>
        </w:numPr>
        <w:spacing w:after="80" w:line="280"/>
      </w:pPr>
      <w:r>
        <w:t xml:space="preserve">Gestion fine des permissions : mémoires privées, mémoires partagées entre agents d'un même opérateur, mémoires publiques.</w:t>
      </w:r>
    </w:p>
    <w:p>
      <w:pPr>
        <w:pStyle w:val="ListParagraph"/>
        <w:numPr>
          <w:ilvl w:val="0"/>
          <w:numId w:val="2"/>
        </w:numPr>
        <w:spacing w:after="80" w:line="280"/>
      </w:pPr>
      <w:r>
        <w:t xml:space="preserve">Versionnement et historisation des modifications.</w:t>
      </w:r>
    </w:p>
    <w:p>
      <w:pPr>
        <w:pStyle w:val="ListParagraph"/>
        <w:numPr>
          <w:ilvl w:val="0"/>
          <w:numId w:val="2"/>
        </w:numPr>
        <w:spacing w:after="80" w:line="280"/>
      </w:pPr>
      <w:r>
        <w:t xml:space="preserve">Export et import de mémoires dans des formats standardisés.</w:t>
      </w:r>
    </w:p>
    <w:p>
      <w:pPr>
        <w:pStyle w:val="ListParagraph"/>
        <w:numPr>
          <w:ilvl w:val="0"/>
          <w:numId w:val="2"/>
        </w:numPr>
        <w:spacing w:after="80" w:line="280"/>
      </w:pPr>
      <w:r>
        <w:t xml:space="preserve">Chiffrement de bout en bout pour les mémoires sensibles.</w:t>
      </w:r>
    </w:p>
    <w:p>
      <w:pPr>
        <w:pStyle w:val="Heading3"/>
        <w:spacing w:after="120" w:before="200"/>
      </w:pPr>
      <w:r>
        <w:t xml:space="preserve">Endpoints MCP exposés</w:t>
      </w:r>
    </w:p>
    <w:p>
      <w:pPr>
        <w:pStyle w:val="ListParagraph"/>
        <w:numPr>
          <w:ilvl w:val="0"/>
          <w:numId w:val="2"/>
        </w:numPr>
        <w:spacing w:after="80" w:line="280"/>
      </w:pPr>
      <w:r>
        <w:t xml:space="preserve">memory.store — Enregistrement d'une mémoire.</w:t>
      </w:r>
    </w:p>
    <w:p>
      <w:pPr>
        <w:pStyle w:val="ListParagraph"/>
        <w:numPr>
          <w:ilvl w:val="0"/>
          <w:numId w:val="2"/>
        </w:numPr>
        <w:spacing w:after="80" w:line="280"/>
      </w:pPr>
      <w:r>
        <w:t xml:space="preserve">memory.retrieve — Récupération par recherche sémantique ou identifiant.</w:t>
      </w:r>
    </w:p>
    <w:p>
      <w:pPr>
        <w:pStyle w:val="ListParagraph"/>
        <w:numPr>
          <w:ilvl w:val="0"/>
          <w:numId w:val="2"/>
        </w:numPr>
        <w:spacing w:after="80" w:line="280"/>
      </w:pPr>
      <w:r>
        <w:t xml:space="preserve">memory.update — Modification d'une mémoire existante.</w:t>
      </w:r>
    </w:p>
    <w:p>
      <w:pPr>
        <w:pStyle w:val="ListParagraph"/>
        <w:numPr>
          <w:ilvl w:val="0"/>
          <w:numId w:val="2"/>
        </w:numPr>
        <w:spacing w:after="80" w:line="280"/>
      </w:pPr>
      <w:r>
        <w:t xml:space="preserve">memory.share — Partage d'une mémoire avec un autre agent.</w:t>
      </w:r>
    </w:p>
    <w:p>
      <w:pPr>
        <w:pStyle w:val="Heading2"/>
        <w:spacing w:after="160" w:before="280"/>
      </w:pPr>
      <w:r>
        <w:t xml:space="preserve">2.6 Synergies inter-modules</w:t>
      </w:r>
    </w:p>
    <w:p>
      <w:pPr>
        <w:spacing w:after="120" w:line="300"/>
        <w:jc w:val="both"/>
      </w:pPr>
      <w:r>
        <w:t xml:space="preserve">Les cinq modules sont conçus pour fonctionner ensemble et créer un effet de plateforme. Une transaction typique entre deux agents peut consommer simultanément plusieurs modules, comme illustré ci-dessous :</w:t>
      </w:r>
    </w:p>
    <w:p>
      <w:pPr>
        <w:pStyle w:val="ListParagraph"/>
        <w:numPr>
          <w:ilvl w:val="0"/>
          <w:numId w:val="2"/>
        </w:numPr>
        <w:spacing w:after="80" w:line="280"/>
      </w:pPr>
      <w:r>
        <w:t xml:space="preserve">L'agent A consulte le score REPUTATION de l'agent B avant de l'engager.</w:t>
      </w:r>
    </w:p>
    <w:p>
      <w:pPr>
        <w:pStyle w:val="ListParagraph"/>
        <w:numPr>
          <w:ilvl w:val="0"/>
          <w:numId w:val="2"/>
        </w:numPr>
        <w:spacing w:after="80" w:line="280"/>
      </w:pPr>
      <w:r>
        <w:t xml:space="preserve">Une fois engagé, ils ouvrent une NEGOTIATION sur les termes.</w:t>
      </w:r>
    </w:p>
    <w:p>
      <w:pPr>
        <w:pStyle w:val="ListParagraph"/>
        <w:numPr>
          <w:ilvl w:val="0"/>
          <w:numId w:val="2"/>
        </w:numPr>
        <w:spacing w:after="80" w:line="280"/>
      </w:pPr>
      <w:r>
        <w:t xml:space="preserve">Le contrat conclu est couvert par une police INSURANCE.</w:t>
      </w:r>
    </w:p>
    <w:p>
      <w:pPr>
        <w:pStyle w:val="ListParagraph"/>
        <w:numPr>
          <w:ilvl w:val="0"/>
          <w:numId w:val="2"/>
        </w:numPr>
        <w:spacing w:after="80" w:line="280"/>
      </w:pPr>
      <w:r>
        <w:t xml:space="preserve">Toute la chaîne d'échanges est tracée par OBSERVABILITY.</w:t>
      </w:r>
    </w:p>
    <w:p>
      <w:pPr>
        <w:pStyle w:val="ListParagraph"/>
        <w:numPr>
          <w:ilvl w:val="0"/>
          <w:numId w:val="2"/>
        </w:numPr>
        <w:spacing w:after="80" w:line="280"/>
      </w:pPr>
      <w:r>
        <w:t xml:space="preserve">Les apprentissages issus de cette transaction sont stockés dans MEMORY pour informer les futures interactions.</w:t>
      </w:r>
    </w:p>
    <w:p>
      <w:pPr>
        <w:spacing w:after="120" w:line="300"/>
        <w:jc w:val="both"/>
      </w:pPr>
      <w:r>
        <w:t xml:space="preserve">Cette intégration constitue le cœur de la défensibilité d'AgentStack : un concurrent qui ne propose qu'un seul de ces modules sera structurellement moins utile qu'AgentStack pour un agent qui en consomme plusieurs.</w:t>
      </w:r>
    </w:p>
    <w:p>
      <w:r>
        <w:br w:type="page"/>
      </w:r>
    </w:p>
    <w:p>
      <w:pPr>
        <w:pStyle w:val="Heading1"/>
        <w:spacing w:after="200" w:before="360"/>
      </w:pPr>
      <w:r>
        <w:t xml:space="preserve">3. Architecture technique</w:t>
      </w:r>
    </w:p>
    <w:p>
      <w:pPr>
        <w:pStyle w:val="Heading2"/>
        <w:spacing w:after="160" w:before="280"/>
      </w:pPr>
      <w:r>
        <w:t xml:space="preserve">3.1 Principes d'architecture</w:t>
      </w:r>
    </w:p>
    <w:p>
      <w:pPr>
        <w:pStyle w:val="ListParagraph"/>
        <w:numPr>
          <w:ilvl w:val="0"/>
          <w:numId w:val="2"/>
        </w:numPr>
        <w:spacing w:after="80" w:line="280"/>
      </w:pPr>
      <w:r>
        <w:t xml:space="preserve">API-first et MCP-native : tous les services sont accessibles via des endpoints MCP standardisés et des API REST/gRPC.</w:t>
      </w:r>
    </w:p>
    <w:p>
      <w:pPr>
        <w:pStyle w:val="ListParagraph"/>
        <w:numPr>
          <w:ilvl w:val="0"/>
          <w:numId w:val="2"/>
        </w:numPr>
        <w:spacing w:after="80" w:line="280"/>
      </w:pPr>
      <w:r>
        <w:t xml:space="preserve">Stateless par défaut, stateful uniquement quand strictement nécessaire (MEMORY, OBSERVABILITY).</w:t>
      </w:r>
    </w:p>
    <w:p>
      <w:pPr>
        <w:pStyle w:val="ListParagraph"/>
        <w:numPr>
          <w:ilvl w:val="0"/>
          <w:numId w:val="2"/>
        </w:numPr>
        <w:spacing w:after="80" w:line="280"/>
      </w:pPr>
      <w:r>
        <w:t xml:space="preserve">Identité agentique unifiée : un agent enregistré sur AgentStack accède à tous les modules avec la même clé.</w:t>
      </w:r>
    </w:p>
    <w:p>
      <w:pPr>
        <w:pStyle w:val="ListParagraph"/>
        <w:numPr>
          <w:ilvl w:val="0"/>
          <w:numId w:val="2"/>
        </w:numPr>
        <w:spacing w:after="80" w:line="280"/>
      </w:pPr>
      <w:r>
        <w:t xml:space="preserve">Paiement natif stablecoin avec support du protocole x402 et de wallets agent-natifs.</w:t>
      </w:r>
    </w:p>
    <w:p>
      <w:pPr>
        <w:pStyle w:val="ListParagraph"/>
        <w:numPr>
          <w:ilvl w:val="0"/>
          <w:numId w:val="2"/>
        </w:numPr>
        <w:spacing w:after="80" w:line="280"/>
      </w:pPr>
      <w:r>
        <w:t xml:space="preserve">Décentralisation progressive : les preuves critiques (réputation, signatures de contrat) sont ancrées on-chain.</w:t>
      </w:r>
    </w:p>
    <w:p>
      <w:pPr>
        <w:pStyle w:val="ListParagraph"/>
        <w:numPr>
          <w:ilvl w:val="0"/>
          <w:numId w:val="2"/>
        </w:numPr>
        <w:spacing w:after="80" w:line="280"/>
      </w:pPr>
      <w:r>
        <w:t xml:space="preserve">Conformité by design : RGPD pour les données européennes, pseudonymisation par défaut.</w:t>
      </w:r>
    </w:p>
    <w:p>
      <w:pPr>
        <w:pStyle w:val="Heading2"/>
        <w:spacing w:after="160" w:before="280"/>
      </w:pPr>
      <w:r>
        <w:t xml:space="preserve">3.2 Couches techniques</w:t>
      </w:r>
    </w:p>
    <w:p>
      <w:pPr>
        <w:pStyle w:val="Heading3"/>
        <w:spacing w:after="120" w:before="200"/>
      </w:pPr>
      <w:r>
        <w:t xml:space="preserve">Couche 1 — Edge &amp; Authentification</w:t>
      </w:r>
    </w:p>
    <w:p>
      <w:pPr>
        <w:pStyle w:val="ListParagraph"/>
        <w:numPr>
          <w:ilvl w:val="0"/>
          <w:numId w:val="2"/>
        </w:numPr>
        <w:spacing w:after="80" w:line="280"/>
      </w:pPr>
      <w:r>
        <w:t xml:space="preserve">Gateway API mondiale avec routage géographique (latence cible &lt; 100 ms).</w:t>
      </w:r>
    </w:p>
    <w:p>
      <w:pPr>
        <w:pStyle w:val="ListParagraph"/>
        <w:numPr>
          <w:ilvl w:val="0"/>
          <w:numId w:val="2"/>
        </w:numPr>
        <w:spacing w:after="80" w:line="280"/>
      </w:pPr>
      <w:r>
        <w:t xml:space="preserve">Authentification par signature cryptographique (Ed25519 ou ECDSA secp256k1).</w:t>
      </w:r>
    </w:p>
    <w:p>
      <w:pPr>
        <w:pStyle w:val="ListParagraph"/>
        <w:numPr>
          <w:ilvl w:val="0"/>
          <w:numId w:val="2"/>
        </w:numPr>
        <w:spacing w:after="80" w:line="280"/>
      </w:pPr>
      <w:r>
        <w:t xml:space="preserve">Rate limiting par agent et par opérateur.</w:t>
      </w:r>
    </w:p>
    <w:p>
      <w:pPr>
        <w:pStyle w:val="ListParagraph"/>
        <w:numPr>
          <w:ilvl w:val="0"/>
          <w:numId w:val="2"/>
        </w:numPr>
        <w:spacing w:after="80" w:line="280"/>
      </w:pPr>
      <w:r>
        <w:t xml:space="preserve">Détection des comportements abusifs et blacklist dynamique.</w:t>
      </w:r>
    </w:p>
    <w:p>
      <w:pPr>
        <w:pStyle w:val="Heading3"/>
        <w:spacing w:after="120" w:before="200"/>
      </w:pPr>
      <w:r>
        <w:t xml:space="preserve">Couche 2 — Services applicatifs</w:t>
      </w:r>
    </w:p>
    <w:p>
      <w:pPr>
        <w:pStyle w:val="ListParagraph"/>
        <w:numPr>
          <w:ilvl w:val="0"/>
          <w:numId w:val="2"/>
        </w:numPr>
        <w:spacing w:after="80" w:line="280"/>
      </w:pPr>
      <w:r>
        <w:t xml:space="preserve">Microservices indépendants par module, déployés en Kubernetes.</w:t>
      </w:r>
    </w:p>
    <w:p>
      <w:pPr>
        <w:pStyle w:val="ListParagraph"/>
        <w:numPr>
          <w:ilvl w:val="0"/>
          <w:numId w:val="2"/>
        </w:numPr>
        <w:spacing w:after="80" w:line="280"/>
      </w:pPr>
      <w:r>
        <w:t xml:space="preserve">Communication interne via gRPC et bus d'événements (Kafka ou NATS).</w:t>
      </w:r>
    </w:p>
    <w:p>
      <w:pPr>
        <w:pStyle w:val="ListParagraph"/>
        <w:numPr>
          <w:ilvl w:val="0"/>
          <w:numId w:val="2"/>
        </w:numPr>
        <w:spacing w:after="80" w:line="280"/>
      </w:pPr>
      <w:r>
        <w:t xml:space="preserve">Chaque module dispose de son propre stockage adapté à ses besoins.</w:t>
      </w:r>
    </w:p>
    <w:p>
      <w:pPr>
        <w:pStyle w:val="Heading3"/>
        <w:spacing w:after="120" w:before="200"/>
      </w:pPr>
      <w:r>
        <w:t xml:space="preserve">Couche 3 — Données</w:t>
      </w:r>
    </w:p>
    <w:p>
      <w:pPr>
        <w:pStyle w:val="ListParagraph"/>
        <w:numPr>
          <w:ilvl w:val="0"/>
          <w:numId w:val="2"/>
        </w:numPr>
        <w:spacing w:after="80" w:line="280"/>
      </w:pPr>
      <w:r>
        <w:t xml:space="preserve">INSURANCE : PostgreSQL pour les polices, Redis pour les calculs de prime en temps réel.</w:t>
      </w:r>
    </w:p>
    <w:p>
      <w:pPr>
        <w:pStyle w:val="ListParagraph"/>
        <w:numPr>
          <w:ilvl w:val="0"/>
          <w:numId w:val="2"/>
        </w:numPr>
        <w:spacing w:after="80" w:line="280"/>
      </w:pPr>
      <w:r>
        <w:t xml:space="preserve">REPUTATION : graph database (Neo4j ou DGraph) pour les relations, ancrage périodique sur Layer 2 (Base ou Optimism).</w:t>
      </w:r>
    </w:p>
    <w:p>
      <w:pPr>
        <w:pStyle w:val="ListParagraph"/>
        <w:numPr>
          <w:ilvl w:val="0"/>
          <w:numId w:val="2"/>
        </w:numPr>
        <w:spacing w:after="80" w:line="280"/>
      </w:pPr>
      <w:r>
        <w:t xml:space="preserve">OBSERVABILITY : ClickHouse pour les logs, stockage objet pour les archives.</w:t>
      </w:r>
    </w:p>
    <w:p>
      <w:pPr>
        <w:pStyle w:val="ListParagraph"/>
        <w:numPr>
          <w:ilvl w:val="0"/>
          <w:numId w:val="2"/>
        </w:numPr>
        <w:spacing w:after="80" w:line="280"/>
      </w:pPr>
      <w:r>
        <w:t xml:space="preserve">NEGOTIATION : event store dédié, snapshots PostgreSQL.</w:t>
      </w:r>
    </w:p>
    <w:p>
      <w:pPr>
        <w:pStyle w:val="ListParagraph"/>
        <w:numPr>
          <w:ilvl w:val="0"/>
          <w:numId w:val="2"/>
        </w:numPr>
        <w:spacing w:after="80" w:line="280"/>
      </w:pPr>
      <w:r>
        <w:t xml:space="preserve">MEMORY : base vectorielle (Qdrant ou Weaviate) couplée à un stockage documentaire.</w:t>
      </w:r>
    </w:p>
    <w:p>
      <w:pPr>
        <w:pStyle w:val="Heading3"/>
        <w:spacing w:after="120" w:before="200"/>
      </w:pPr>
      <w:r>
        <w:t xml:space="preserve">Couche 4 — Blockchain &amp; paiements</w:t>
      </w:r>
    </w:p>
    <w:p>
      <w:pPr>
        <w:pStyle w:val="ListParagraph"/>
        <w:numPr>
          <w:ilvl w:val="0"/>
          <w:numId w:val="2"/>
        </w:numPr>
        <w:spacing w:after="80" w:line="280"/>
      </w:pPr>
      <w:r>
        <w:t xml:space="preserve">Wallet de plateforme et wallets délégués pour gestion des indemnisations INSURANCE.</w:t>
      </w:r>
    </w:p>
    <w:p>
      <w:pPr>
        <w:pStyle w:val="ListParagraph"/>
        <w:numPr>
          <w:ilvl w:val="0"/>
          <w:numId w:val="2"/>
        </w:numPr>
        <w:spacing w:after="80" w:line="280"/>
      </w:pPr>
      <w:r>
        <w:t xml:space="preserve">Smart contracts pour ancrage de réputation et signatures de contrats négociés.</w:t>
      </w:r>
    </w:p>
    <w:p>
      <w:pPr>
        <w:pStyle w:val="ListParagraph"/>
        <w:numPr>
          <w:ilvl w:val="0"/>
          <w:numId w:val="2"/>
        </w:numPr>
        <w:spacing w:after="80" w:line="280"/>
      </w:pPr>
      <w:r>
        <w:t xml:space="preserve">Intégration de Coinbase x402 pour les paiements par appel.</w:t>
      </w:r>
    </w:p>
    <w:p>
      <w:pPr>
        <w:pStyle w:val="ListParagraph"/>
        <w:numPr>
          <w:ilvl w:val="0"/>
          <w:numId w:val="2"/>
        </w:numPr>
        <w:spacing w:after="80" w:line="280"/>
      </w:pPr>
      <w:r>
        <w:t xml:space="preserve">Support multi-chaîne (Ethereum L2 prioritaire : Base, Optimism, Arbitrum).</w:t>
      </w:r>
    </w:p>
    <w:p>
      <w:pPr>
        <w:pStyle w:val="Heading2"/>
        <w:spacing w:after="160" w:before="280"/>
      </w:pPr>
      <w:r>
        <w:t xml:space="preserve">3.3 Standards et protocoles supportés</w:t>
      </w:r>
    </w:p>
    <w:p>
      <w:pPr>
        <w:pStyle w:val="ListParagraph"/>
        <w:numPr>
          <w:ilvl w:val="0"/>
          <w:numId w:val="2"/>
        </w:numPr>
        <w:spacing w:after="80" w:line="280"/>
      </w:pPr>
      <w:r>
        <w:t xml:space="preserve">MCP (Model Context Protocol) — interface principale pour la consommation par agents.</w:t>
      </w:r>
    </w:p>
    <w:p>
      <w:pPr>
        <w:pStyle w:val="ListParagraph"/>
        <w:numPr>
          <w:ilvl w:val="0"/>
          <w:numId w:val="2"/>
        </w:numPr>
        <w:spacing w:after="80" w:line="280"/>
      </w:pPr>
      <w:r>
        <w:t xml:space="preserve">A2A Protocol (Google) — interopérabilité avec agents externes.</w:t>
      </w:r>
    </w:p>
    <w:p>
      <w:pPr>
        <w:pStyle w:val="ListParagraph"/>
        <w:numPr>
          <w:ilvl w:val="0"/>
          <w:numId w:val="2"/>
        </w:numPr>
        <w:spacing w:after="80" w:line="280"/>
      </w:pPr>
      <w:r>
        <w:t xml:space="preserve">x402 (Coinbase) — paiements HTTP natifs.</w:t>
      </w:r>
    </w:p>
    <w:p>
      <w:pPr>
        <w:pStyle w:val="ListParagraph"/>
        <w:numPr>
          <w:ilvl w:val="0"/>
          <w:numId w:val="2"/>
        </w:numPr>
        <w:spacing w:after="80" w:line="280"/>
      </w:pPr>
      <w:r>
        <w:t xml:space="preserve">OpenTelemetry — export d'observabilité.</w:t>
      </w:r>
    </w:p>
    <w:p>
      <w:pPr>
        <w:pStyle w:val="ListParagraph"/>
        <w:numPr>
          <w:ilvl w:val="0"/>
          <w:numId w:val="2"/>
        </w:numPr>
        <w:spacing w:after="80" w:line="280"/>
      </w:pPr>
      <w:r>
        <w:t xml:space="preserve">DID (Decentralized Identifiers) — identité agentique.</w:t>
      </w:r>
    </w:p>
    <w:p>
      <w:pPr>
        <w:pStyle w:val="ListParagraph"/>
        <w:numPr>
          <w:ilvl w:val="0"/>
          <w:numId w:val="2"/>
        </w:numPr>
        <w:spacing w:after="80" w:line="280"/>
      </w:pPr>
      <w:r>
        <w:t xml:space="preserve">Verifiable Credentials — attestations de réputation.</w:t>
      </w:r>
    </w:p>
    <w:p>
      <w:pPr>
        <w:pStyle w:val="Heading2"/>
        <w:spacing w:after="160" w:before="280"/>
      </w:pPr>
      <w:r>
        <w:t xml:space="preserve">3.4 Stack technologique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Couche</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Choix recommandé</w:t>
            </w:r>
          </w:p>
        </w:tc>
        <w:tc>
          <w:tcPr>
            <w:tcW w:type="dxa" w:w="3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Justification</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Backend services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TypeScript / Node.js + Rust pour modules critiques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Écosystème MCP mature en TS, Rust pour performance crypto</w:t>
            </w:r>
          </w:p>
        </w:tc>
      </w:tr>
      <w:tr>
        <w:tc>
          <w:tcPr>
            <w:tcW w:type="dxa" w:w="26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API Gateway</w:t>
            </w:r>
          </w:p>
        </w:tc>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Kong ou Cloudflare Workers</w:t>
            </w:r>
          </w:p>
        </w:tc>
        <w:tc>
          <w:tcPr>
            <w:tcW w:type="dxa" w:w="3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Latence faible, MCP Registry natif (Kong)</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Orchestration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Kubernetes (managed : GKE ou EKS)</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Standard du marché, scalabilité</w:t>
            </w:r>
          </w:p>
        </w:tc>
      </w:tr>
      <w:tr>
        <w:tc>
          <w:tcPr>
            <w:tcW w:type="dxa" w:w="26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Bus d'événements</w:t>
            </w:r>
          </w:p>
        </w:tc>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NATS JetStream</w:t>
            </w:r>
          </w:p>
        </w:tc>
        <w:tc>
          <w:tcPr>
            <w:tcW w:type="dxa" w:w="3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Léger, performant, simple à opérer</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Base de données primaire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PostgreSQL (managed)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Robustesse et richesse fonctionnelle</w:t>
            </w:r>
          </w:p>
        </w:tc>
      </w:tr>
      <w:tr>
        <w:tc>
          <w:tcPr>
            <w:tcW w:type="dxa" w:w="26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Base vectorielle</w:t>
            </w:r>
          </w:p>
        </w:tc>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Qdrant</w:t>
            </w:r>
          </w:p>
        </w:tc>
        <w:tc>
          <w:tcPr>
            <w:tcW w:type="dxa" w:w="3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Open source, performant, self-hostable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Logs &amp; traces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ClickHouse + Grafana</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Volumes massifs, requêtes rapides</w:t>
            </w:r>
          </w:p>
        </w:tc>
      </w:tr>
      <w:tr>
        <w:tc>
          <w:tcPr>
            <w:tcW w:type="dxa" w:w="26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Blockchain L2</w:t>
            </w:r>
          </w:p>
        </w:tc>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Base (Coinbase) en priorité, Optimism en secondaire</w:t>
            </w:r>
          </w:p>
        </w:tc>
        <w:tc>
          <w:tcPr>
            <w:tcW w:type="dxa" w:w="3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Coûts faibles, écosystème agentique le plus actif</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Stablecoin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USDC</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Régulation claire, adoption agentique dominante</w:t>
            </w:r>
          </w:p>
        </w:tc>
      </w:tr>
      <w:tr>
        <w:tc>
          <w:tcPr>
            <w:tcW w:type="dxa" w:w="26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Hébergement</w:t>
            </w:r>
          </w:p>
        </w:tc>
        <w:tc>
          <w:tcPr>
            <w:tcW w:type="dxa" w:w="3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AWS ou GCP, multi-région</w:t>
            </w:r>
          </w:p>
        </w:tc>
        <w:tc>
          <w:tcPr>
            <w:tcW w:type="dxa" w:w="3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Disponibilité globale, conformité</w:t>
            </w:r>
          </w:p>
        </w:tc>
      </w:tr>
    </w:tbl>
    <w:p>
      <w:pPr>
        <w:spacing w:after="100"/>
      </w:pPr>
      <w:r>
        <w:t xml:space="preserve"/>
      </w:r>
    </w:p>
    <w:p>
      <w:r>
        <w:br w:type="page"/>
      </w:r>
    </w:p>
    <w:p>
      <w:pPr>
        <w:pStyle w:val="Heading1"/>
        <w:spacing w:after="200" w:before="360"/>
      </w:pPr>
      <w:r>
        <w:t xml:space="preserve">4. Exigences non fonctionnelles</w:t>
      </w:r>
    </w:p>
    <w:p>
      <w:pPr>
        <w:pStyle w:val="Heading2"/>
        <w:spacing w:after="160" w:before="280"/>
      </w:pPr>
      <w:r>
        <w:t xml:space="preserve">4.1 Performance et disponibilité</w:t>
      </w:r>
    </w:p>
    <w:p>
      <w:pPr>
        <w:pStyle w:val="ListParagraph"/>
        <w:numPr>
          <w:ilvl w:val="0"/>
          <w:numId w:val="2"/>
        </w:numPr>
        <w:spacing w:after="80" w:line="280"/>
      </w:pPr>
      <w:r>
        <w:t xml:space="preserve">Latence p95 inférieure à 200 ms pour les endpoints synchrones (REPUTATION.score, MEMORY.retrieve).</w:t>
      </w:r>
    </w:p>
    <w:p>
      <w:pPr>
        <w:pStyle w:val="ListParagraph"/>
        <w:numPr>
          <w:ilvl w:val="0"/>
          <w:numId w:val="2"/>
        </w:numPr>
        <w:spacing w:after="80" w:line="280"/>
      </w:pPr>
      <w:r>
        <w:t xml:space="preserve">Latence p95 inférieure à 500 ms pour les endpoints d'écriture.</w:t>
      </w:r>
    </w:p>
    <w:p>
      <w:pPr>
        <w:pStyle w:val="ListParagraph"/>
        <w:numPr>
          <w:ilvl w:val="0"/>
          <w:numId w:val="2"/>
        </w:numPr>
        <w:spacing w:after="80" w:line="280"/>
      </w:pPr>
      <w:r>
        <w:t xml:space="preserve">Disponibilité cible 99,9 % sur la première année, 99,95 % à partir de la deuxième année.</w:t>
      </w:r>
    </w:p>
    <w:p>
      <w:pPr>
        <w:pStyle w:val="ListParagraph"/>
        <w:numPr>
          <w:ilvl w:val="0"/>
          <w:numId w:val="2"/>
        </w:numPr>
        <w:spacing w:after="80" w:line="280"/>
      </w:pPr>
      <w:r>
        <w:t xml:space="preserve">Capacité de traitement cible : 10 000 requêtes par seconde à la charge nominale, 50 000 RPS en burst.</w:t>
      </w:r>
    </w:p>
    <w:p>
      <w:pPr>
        <w:pStyle w:val="Heading2"/>
        <w:spacing w:after="160" w:before="280"/>
      </w:pPr>
      <w:r>
        <w:t xml:space="preserve">4.2 Sécurité</w:t>
      </w:r>
    </w:p>
    <w:p>
      <w:pPr>
        <w:pStyle w:val="ListParagraph"/>
        <w:numPr>
          <w:ilvl w:val="0"/>
          <w:numId w:val="2"/>
        </w:numPr>
        <w:spacing w:after="80" w:line="280"/>
      </w:pPr>
      <w:r>
        <w:t xml:space="preserve">Authentification cryptographique obligatoire pour tout appel hors endpoints publics.</w:t>
      </w:r>
    </w:p>
    <w:p>
      <w:pPr>
        <w:pStyle w:val="ListParagraph"/>
        <w:numPr>
          <w:ilvl w:val="0"/>
          <w:numId w:val="2"/>
        </w:numPr>
        <w:spacing w:after="80" w:line="280"/>
      </w:pPr>
      <w:r>
        <w:t xml:space="preserve">Chiffrement TLS 1.3 minimum pour tout trafic entrant et sortant.</w:t>
      </w:r>
    </w:p>
    <w:p>
      <w:pPr>
        <w:pStyle w:val="ListParagraph"/>
        <w:numPr>
          <w:ilvl w:val="0"/>
          <w:numId w:val="2"/>
        </w:numPr>
        <w:spacing w:after="80" w:line="280"/>
      </w:pPr>
      <w:r>
        <w:t xml:space="preserve">Chiffrement at-rest des données sensibles (mémoires privées, données de polices d'assurance).</w:t>
      </w:r>
    </w:p>
    <w:p>
      <w:pPr>
        <w:pStyle w:val="ListParagraph"/>
        <w:numPr>
          <w:ilvl w:val="0"/>
          <w:numId w:val="2"/>
        </w:numPr>
        <w:spacing w:after="80" w:line="280"/>
      </w:pPr>
      <w:r>
        <w:t xml:space="preserve">Audit de sécurité annuel par tiers indépendant.</w:t>
      </w:r>
    </w:p>
    <w:p>
      <w:pPr>
        <w:pStyle w:val="ListParagraph"/>
        <w:numPr>
          <w:ilvl w:val="0"/>
          <w:numId w:val="2"/>
        </w:numPr>
        <w:spacing w:after="80" w:line="280"/>
      </w:pPr>
      <w:r>
        <w:t xml:space="preserve">Bug bounty programme dès le lancement public.</w:t>
      </w:r>
    </w:p>
    <w:p>
      <w:pPr>
        <w:pStyle w:val="ListParagraph"/>
        <w:numPr>
          <w:ilvl w:val="0"/>
          <w:numId w:val="2"/>
        </w:numPr>
        <w:spacing w:after="80" w:line="280"/>
      </w:pPr>
      <w:r>
        <w:t xml:space="preserve">Gestion des secrets via HashiCorp Vault ou équivalent géré.</w:t>
      </w:r>
    </w:p>
    <w:p>
      <w:pPr>
        <w:pStyle w:val="ListParagraph"/>
        <w:numPr>
          <w:ilvl w:val="0"/>
          <w:numId w:val="2"/>
        </w:numPr>
        <w:spacing w:after="80" w:line="280"/>
      </w:pPr>
      <w:r>
        <w:t xml:space="preserve">Isolation stricte des données entre opérateurs (multi-tenancy fort).</w:t>
      </w:r>
    </w:p>
    <w:p>
      <w:pPr>
        <w:pStyle w:val="Heading2"/>
        <w:spacing w:after="160" w:before="280"/>
      </w:pPr>
      <w:r>
        <w:t xml:space="preserve">4.3 Conformité</w:t>
      </w:r>
    </w:p>
    <w:p>
      <w:pPr>
        <w:pStyle w:val="ListParagraph"/>
        <w:numPr>
          <w:ilvl w:val="0"/>
          <w:numId w:val="2"/>
        </w:numPr>
        <w:spacing w:after="80" w:line="280"/>
      </w:pPr>
      <w:r>
        <w:t xml:space="preserve">RGPD : DPA disponible pour les opérateurs européens, droit à l'oubli implémenté.</w:t>
      </w:r>
    </w:p>
    <w:p>
      <w:pPr>
        <w:pStyle w:val="ListParagraph"/>
        <w:numPr>
          <w:ilvl w:val="0"/>
          <w:numId w:val="2"/>
        </w:numPr>
        <w:spacing w:after="80" w:line="280"/>
      </w:pPr>
      <w:r>
        <w:t xml:space="preserve">Pseudonymisation par défaut : un agent peut interagir sans révéler l'identité de son opérateur humain.</w:t>
      </w:r>
    </w:p>
    <w:p>
      <w:pPr>
        <w:pStyle w:val="ListParagraph"/>
        <w:numPr>
          <w:ilvl w:val="0"/>
          <w:numId w:val="2"/>
        </w:numPr>
        <w:spacing w:after="80" w:line="280"/>
      </w:pPr>
      <w:r>
        <w:t xml:space="preserve">Conformité aux exigences MiCA pour la composante stablecoin en Europe.</w:t>
      </w:r>
    </w:p>
    <w:p>
      <w:pPr>
        <w:pStyle w:val="ListParagraph"/>
        <w:numPr>
          <w:ilvl w:val="0"/>
          <w:numId w:val="2"/>
        </w:numPr>
        <w:spacing w:after="80" w:line="280"/>
      </w:pPr>
      <w:r>
        <w:t xml:space="preserve">KYC/KYB applicable aux opérateurs humains, pas aux agents eux-mêmes.</w:t>
      </w:r>
    </w:p>
    <w:p>
      <w:pPr>
        <w:pStyle w:val="ListParagraph"/>
        <w:numPr>
          <w:ilvl w:val="0"/>
          <w:numId w:val="2"/>
        </w:numPr>
        <w:spacing w:after="80" w:line="280"/>
      </w:pPr>
      <w:r>
        <w:t xml:space="preserve">Anticipation des futures régulations sur les agents autonomes (AI Act, frameworks émergents).</w:t>
      </w:r>
    </w:p>
    <w:p>
      <w:pPr>
        <w:pStyle w:val="Heading2"/>
        <w:spacing w:after="160" w:before="280"/>
      </w:pPr>
      <w:r>
        <w:t xml:space="preserve">4.4 Scalabilité</w:t>
      </w:r>
    </w:p>
    <w:p>
      <w:pPr>
        <w:pStyle w:val="ListParagraph"/>
        <w:numPr>
          <w:ilvl w:val="0"/>
          <w:numId w:val="2"/>
        </w:numPr>
        <w:spacing w:after="80" w:line="280"/>
      </w:pPr>
      <w:r>
        <w:t xml:space="preserve">Architecture horizontalement scalable sur tous les modules.</w:t>
      </w:r>
    </w:p>
    <w:p>
      <w:pPr>
        <w:pStyle w:val="ListParagraph"/>
        <w:numPr>
          <w:ilvl w:val="0"/>
          <w:numId w:val="2"/>
        </w:numPr>
        <w:spacing w:after="80" w:line="280"/>
      </w:pPr>
      <w:r>
        <w:t xml:space="preserve">Sharding par opérateur ou région pour les modules à forte volumétrie (OBSERVABILITY, MEMORY).</w:t>
      </w:r>
    </w:p>
    <w:p>
      <w:pPr>
        <w:pStyle w:val="ListParagraph"/>
        <w:numPr>
          <w:ilvl w:val="0"/>
          <w:numId w:val="2"/>
        </w:numPr>
        <w:spacing w:after="80" w:line="280"/>
      </w:pPr>
      <w:r>
        <w:t xml:space="preserve">Capacité de provisionnement automatique en moins de 5 minutes lors des pics de charge.</w:t>
      </w:r>
    </w:p>
    <w:p>
      <w:pPr>
        <w:pStyle w:val="Heading2"/>
        <w:spacing w:after="160" w:before="280"/>
      </w:pPr>
      <w:r>
        <w:t xml:space="preserve">4.5 Observabilité interne</w:t>
      </w:r>
    </w:p>
    <w:p>
      <w:pPr>
        <w:pStyle w:val="ListParagraph"/>
        <w:numPr>
          <w:ilvl w:val="0"/>
          <w:numId w:val="2"/>
        </w:numPr>
        <w:spacing w:after="80" w:line="280"/>
      </w:pPr>
      <w:r>
        <w:t xml:space="preserve">Métriques Prometheus exposées par tous les services.</w:t>
      </w:r>
    </w:p>
    <w:p>
      <w:pPr>
        <w:pStyle w:val="ListParagraph"/>
        <w:numPr>
          <w:ilvl w:val="0"/>
          <w:numId w:val="2"/>
        </w:numPr>
        <w:spacing w:after="80" w:line="280"/>
      </w:pPr>
      <w:r>
        <w:t xml:space="preserve">Logs centralisés au format JSON structuré.</w:t>
      </w:r>
    </w:p>
    <w:p>
      <w:pPr>
        <w:pStyle w:val="ListParagraph"/>
        <w:numPr>
          <w:ilvl w:val="0"/>
          <w:numId w:val="2"/>
        </w:numPr>
        <w:spacing w:after="80" w:line="280"/>
      </w:pPr>
      <w:r>
        <w:t xml:space="preserve">Tracing distribué OpenTelemetry sur la totalité de la stack.</w:t>
      </w:r>
    </w:p>
    <w:p>
      <w:pPr>
        <w:pStyle w:val="ListParagraph"/>
        <w:numPr>
          <w:ilvl w:val="0"/>
          <w:numId w:val="2"/>
        </w:numPr>
        <w:spacing w:after="80" w:line="280"/>
      </w:pPr>
      <w:r>
        <w:t xml:space="preserve">Dashboards Grafana opérationnels dès le MVP.</w:t>
      </w:r>
    </w:p>
    <w:p>
      <w:pPr>
        <w:pStyle w:val="Heading2"/>
        <w:spacing w:after="160" w:before="280"/>
      </w:pPr>
      <w:r>
        <w:t xml:space="preserve">4.6 Internationalisation</w:t>
      </w:r>
    </w:p>
    <w:p>
      <w:pPr>
        <w:pStyle w:val="ListParagraph"/>
        <w:numPr>
          <w:ilvl w:val="0"/>
          <w:numId w:val="2"/>
        </w:numPr>
        <w:spacing w:after="80" w:line="280"/>
      </w:pPr>
      <w:r>
        <w:t xml:space="preserve">API et documentation en anglais (langue par défaut de l'écosystème agentique).</w:t>
      </w:r>
    </w:p>
    <w:p>
      <w:pPr>
        <w:pStyle w:val="ListParagraph"/>
        <w:numPr>
          <w:ilvl w:val="0"/>
          <w:numId w:val="2"/>
        </w:numPr>
        <w:spacing w:after="80" w:line="280"/>
      </w:pPr>
      <w:r>
        <w:t xml:space="preserve">Console opérateur multilingue dès le lancement (anglais, français), extensible ensuite.</w:t>
      </w:r>
    </w:p>
    <w:p>
      <w:pPr>
        <w:pStyle w:val="ListParagraph"/>
        <w:numPr>
          <w:ilvl w:val="0"/>
          <w:numId w:val="2"/>
        </w:numPr>
        <w:spacing w:after="80" w:line="280"/>
      </w:pPr>
      <w:r>
        <w:t xml:space="preserve">Support multi-devise pour la facturation aux opérateurs (USD, EUR, USDC).</w:t>
      </w:r>
    </w:p>
    <w:p>
      <w:r>
        <w:br w:type="page"/>
      </w:r>
    </w:p>
    <w:p>
      <w:pPr>
        <w:pStyle w:val="Heading1"/>
        <w:spacing w:after="200" w:before="360"/>
      </w:pPr>
      <w:r>
        <w:t xml:space="preserve">5. Modèle économique</w:t>
      </w:r>
    </w:p>
    <w:p>
      <w:pPr>
        <w:pStyle w:val="Heading2"/>
        <w:spacing w:after="160" w:before="280"/>
      </w:pPr>
      <w:r>
        <w:t xml:space="preserve">5.1 Sources de revenus</w:t>
      </w:r>
    </w:p>
    <w:p>
      <w:pPr>
        <w:spacing w:after="120" w:line="300"/>
        <w:jc w:val="both"/>
      </w:pPr>
      <w:r>
        <w:t xml:space="preserve">AgentStack combine plusieurs flux de revenus complémentaires, conçus pour aligner les intérêts de la plateforme avec ceux de ses utilisateurs agents et opérateurs.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Module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Modèle principal</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Tarification indicative</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Modèle secondaire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INSURANCE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Prime sur transaction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0,5 à 3 % du montant couvert</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Abonnement entreprise pour souscription en volume</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REPUTATION</w:t>
            </w:r>
          </w:p>
        </w:tc>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Pay-per-query</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0,001 à 0,01 USDC par requête</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Abonnement consultation illimitée pour partenaires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OBSERVABILITY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Volume d'événements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0,10 USDC par million d'événements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Tier opérateur avec rétention étendue</w:t>
            </w:r>
          </w:p>
        </w:tc>
      </w:tr>
      <w:tr>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NEGOTIATION</w:t>
            </w:r>
          </w:p>
        </w:tc>
        <w:tc>
          <w:tcPr>
            <w:tcW w:type="dxa" w:w="22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Commission sur deal</w:t>
            </w:r>
          </w:p>
        </w:tc>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0,5 à 2 % du montant négocié</w:t>
            </w:r>
          </w:p>
        </w:tc>
        <w:tc>
          <w:tcPr>
            <w:tcW w:type="dxa" w:w="25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Frais fixes pour négociations sans valorisation directe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MEMORY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Stockage + requêtes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0,02 USDC par Go-mois + 0,001 par requête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Plans réservés pour gros volumes</w:t>
            </w:r>
          </w:p>
        </w:tc>
      </w:tr>
    </w:tbl>
    <w:p>
      <w:pPr>
        <w:spacing w:after="100"/>
      </w:pPr>
      <w:r>
        <w:t xml:space="preserve"/>
      </w:r>
    </w:p>
    <w:p>
      <w:pPr>
        <w:pStyle w:val="Heading2"/>
        <w:spacing w:after="160" w:before="280"/>
      </w:pPr>
      <w:r>
        <w:t xml:space="preserve">5.2 Tier gratuit et acquisition</w:t>
      </w:r>
    </w:p>
    <w:p>
      <w:pPr>
        <w:spacing w:after="120" w:line="300"/>
        <w:jc w:val="both"/>
      </w:pPr>
      <w:r>
        <w:t xml:space="preserve">Pour favoriser l'adoption en phase d'amorçage, chaque module dispose d'un quota gratuit mensuel calibré pour permettre à un agent de démarrer sans paiement. Le passage au tier payant s'effectue automatiquement via le wallet de l'agent une fois le seuil dépassé.</w:t>
      </w:r>
    </w:p>
    <w:p>
      <w:pPr>
        <w:pStyle w:val="ListParagraph"/>
        <w:numPr>
          <w:ilvl w:val="0"/>
          <w:numId w:val="2"/>
        </w:numPr>
        <w:spacing w:after="80" w:line="280"/>
      </w:pPr>
      <w:r>
        <w:t xml:space="preserve">REPUTATION : 1 000 requêtes gratuites par mois et par agent.</w:t>
      </w:r>
    </w:p>
    <w:p>
      <w:pPr>
        <w:pStyle w:val="ListParagraph"/>
        <w:numPr>
          <w:ilvl w:val="0"/>
          <w:numId w:val="2"/>
        </w:numPr>
        <w:spacing w:after="80" w:line="280"/>
      </w:pPr>
      <w:r>
        <w:t xml:space="preserve">MEMORY : 100 Mo de stockage et 5 000 requêtes par mois.</w:t>
      </w:r>
    </w:p>
    <w:p>
      <w:pPr>
        <w:pStyle w:val="ListParagraph"/>
        <w:numPr>
          <w:ilvl w:val="0"/>
          <w:numId w:val="2"/>
        </w:numPr>
        <w:spacing w:after="80" w:line="280"/>
      </w:pPr>
      <w:r>
        <w:t xml:space="preserve">OBSERVABILITY : 1 million d'événements par mois.</w:t>
      </w:r>
    </w:p>
    <w:p>
      <w:pPr>
        <w:pStyle w:val="ListParagraph"/>
        <w:numPr>
          <w:ilvl w:val="0"/>
          <w:numId w:val="2"/>
        </w:numPr>
        <w:spacing w:after="80" w:line="280"/>
      </w:pPr>
      <w:r>
        <w:t xml:space="preserve">INSURANCE et NEGOTIATION : pas de quota gratuit, mais pas de frais fixes.</w:t>
      </w:r>
    </w:p>
    <w:p>
      <w:pPr>
        <w:pStyle w:val="Heading2"/>
        <w:spacing w:after="160" w:before="280"/>
      </w:pPr>
      <w:r>
        <w:t xml:space="preserve">5.3 Projections financières indicatives à 24 mois</w:t>
      </w:r>
    </w:p>
    <w:p>
      <w:pPr>
        <w:spacing w:after="120" w:line="300"/>
        <w:jc w:val="both"/>
      </w:pPr>
      <w:r>
        <w:t xml:space="preserve">Les projections suivantes reposent sur des hypothèses prudentes d'adoption progressive et serviront de boussole, à ajuster trimestriellement.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Indicateur</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M+6</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M+12</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M+24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Agents actifs mensuels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500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3 000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10 000</w:t>
            </w:r>
          </w:p>
        </w:tc>
      </w:tr>
      <w:tr>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Opérateurs payants</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20</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150</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600</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Transactions médiatisées / mois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10 000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150 000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1 000 000</w:t>
            </w:r>
          </w:p>
        </w:tc>
      </w:tr>
      <w:tr>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b/>
                <w:bCs/>
                <w:sz w:val="20"/>
                <w:szCs w:val="20"/>
              </w:rPr>
              <w:t xml:space="preserve">ARR (€)</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80 K</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450 K</w:t>
            </w:r>
          </w:p>
        </w:tc>
        <w:tc>
          <w:tcPr>
            <w:tcW w:type="dxa" w:w="234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b/>
                <w:bCs/>
                <w:sz w:val="20"/>
                <w:szCs w:val="20"/>
              </w:rPr>
              <w:t xml:space="preserve">1,8 M</w:t>
            </w:r>
          </w:p>
        </w:tc>
      </w:tr>
    </w:tbl>
    <w:p>
      <w:r>
        <w:br w:type="page"/>
      </w:r>
    </w:p>
    <w:p>
      <w:pPr>
        <w:pStyle w:val="Heading1"/>
        <w:spacing w:after="200" w:before="360"/>
      </w:pPr>
      <w:r>
        <w:t xml:space="preserve">6. Feuille de route et phases de déploiement</w:t>
      </w:r>
    </w:p>
    <w:p>
      <w:pPr>
        <w:spacing w:after="120" w:line="300"/>
        <w:jc w:val="both"/>
      </w:pPr>
      <w:r>
        <w:t xml:space="preserve">Le déploiement d'AgentStack est planifié en quatre phases successives sur 18 mois, avec un focus initial sur les deux modules les plus différenciants et les moins concurrencés : REPUTATION et MEMORY.</w:t>
      </w:r>
    </w:p>
    <w:p>
      <w:pPr>
        <w:pStyle w:val="Heading2"/>
        <w:spacing w:after="160" w:before="280"/>
      </w:pPr>
      <w:r>
        <w:t xml:space="preserve">6.1 Phase 0 — Préparation (M0 à M2)</w:t>
      </w:r>
    </w:p>
    <w:p>
      <w:pPr>
        <w:pStyle w:val="ListParagraph"/>
        <w:numPr>
          <w:ilvl w:val="0"/>
          <w:numId w:val="2"/>
        </w:numPr>
        <w:spacing w:after="80" w:line="280"/>
      </w:pPr>
      <w:r>
        <w:t xml:space="preserve">Constitution de l'équipe fondatrice (2 à 3 personnes : tech, produit, business).</w:t>
      </w:r>
    </w:p>
    <w:p>
      <w:pPr>
        <w:pStyle w:val="ListParagraph"/>
        <w:numPr>
          <w:ilvl w:val="0"/>
          <w:numId w:val="2"/>
        </w:numPr>
        <w:spacing w:after="80" w:line="280"/>
      </w:pPr>
      <w:r>
        <w:t xml:space="preserve">Choix techniques définitifs et architecture de référence.</w:t>
      </w:r>
    </w:p>
    <w:p>
      <w:pPr>
        <w:pStyle w:val="ListParagraph"/>
        <w:numPr>
          <w:ilvl w:val="0"/>
          <w:numId w:val="2"/>
        </w:numPr>
        <w:spacing w:after="80" w:line="280"/>
      </w:pPr>
      <w:r>
        <w:t xml:space="preserve">Setup juridique : entité, conditions générales agentiques, structuration assurantielle.</w:t>
      </w:r>
    </w:p>
    <w:p>
      <w:pPr>
        <w:pStyle w:val="ListParagraph"/>
        <w:numPr>
          <w:ilvl w:val="0"/>
          <w:numId w:val="2"/>
        </w:numPr>
        <w:spacing w:after="80" w:line="280"/>
      </w:pPr>
      <w:r>
        <w:t xml:space="preserve">Préinscription d'opérateurs pilotes (objectif : 10 opérateurs early access).</w:t>
      </w:r>
    </w:p>
    <w:p>
      <w:pPr>
        <w:pStyle w:val="ListParagraph"/>
        <w:numPr>
          <w:ilvl w:val="0"/>
          <w:numId w:val="2"/>
        </w:numPr>
        <w:spacing w:after="80" w:line="280"/>
      </w:pPr>
      <w:r>
        <w:t xml:space="preserve">Communication initiale : site, documentation publique, présence sur les forums agentiques.</w:t>
      </w:r>
    </w:p>
    <w:p>
      <w:pPr>
        <w:pStyle w:val="Heading2"/>
        <w:spacing w:after="160" w:before="280"/>
      </w:pPr>
      <w:r>
        <w:t xml:space="preserve">6.2 Phase 1 — MVP REPUTATION + MEMORY (M2 à M6)</w:t>
      </w:r>
    </w:p>
    <w:p>
      <w:pPr>
        <w:pStyle w:val="ListParagraph"/>
        <w:numPr>
          <w:ilvl w:val="0"/>
          <w:numId w:val="2"/>
        </w:numPr>
        <w:spacing w:after="80" w:line="280"/>
      </w:pPr>
      <w:r>
        <w:t xml:space="preserve">Lancement de REPUTATION en bêta fermée avec scoring simple basé sur transactions vérifiées.</w:t>
      </w:r>
    </w:p>
    <w:p>
      <w:pPr>
        <w:pStyle w:val="ListParagraph"/>
        <w:numPr>
          <w:ilvl w:val="0"/>
          <w:numId w:val="2"/>
        </w:numPr>
        <w:spacing w:after="80" w:line="280"/>
      </w:pPr>
      <w:r>
        <w:t xml:space="preserve">Lancement de MEMORY en bêta fermée avec recherche sémantique et permissions de base.</w:t>
      </w:r>
    </w:p>
    <w:p>
      <w:pPr>
        <w:pStyle w:val="ListParagraph"/>
        <w:numPr>
          <w:ilvl w:val="0"/>
          <w:numId w:val="2"/>
        </w:numPr>
        <w:spacing w:after="80" w:line="280"/>
      </w:pPr>
      <w:r>
        <w:t xml:space="preserve">Console opérateur web minimale.</w:t>
      </w:r>
    </w:p>
    <w:p>
      <w:pPr>
        <w:pStyle w:val="ListParagraph"/>
        <w:numPr>
          <w:ilvl w:val="0"/>
          <w:numId w:val="2"/>
        </w:numPr>
        <w:spacing w:after="80" w:line="280"/>
      </w:pPr>
      <w:r>
        <w:t xml:space="preserve">Listage sur AgenticTrade et MCP Registries publics.</w:t>
      </w:r>
    </w:p>
    <w:p>
      <w:pPr>
        <w:pStyle w:val="ListParagraph"/>
        <w:numPr>
          <w:ilvl w:val="0"/>
          <w:numId w:val="2"/>
        </w:numPr>
        <w:spacing w:after="80" w:line="280"/>
      </w:pPr>
      <w:r>
        <w:t xml:space="preserve">Mise en place de la facturation USDC via x402.</w:t>
      </w:r>
    </w:p>
    <w:p>
      <w:pPr>
        <w:pStyle w:val="ListParagraph"/>
        <w:numPr>
          <w:ilvl w:val="0"/>
          <w:numId w:val="2"/>
        </w:numPr>
        <w:spacing w:after="80" w:line="280"/>
      </w:pPr>
      <w:r>
        <w:t xml:space="preserve">Objectif fin de phase : 500 agents actifs, 20 opérateurs payants.</w:t>
      </w:r>
    </w:p>
    <w:p>
      <w:pPr>
        <w:pStyle w:val="Heading2"/>
        <w:spacing w:after="160" w:before="280"/>
      </w:pPr>
      <w:r>
        <w:t xml:space="preserve">6.3 Phase 2 — Ajout d'OBSERVABILITY (M6 à M10)</w:t>
      </w:r>
    </w:p>
    <w:p>
      <w:pPr>
        <w:pStyle w:val="ListParagraph"/>
        <w:numPr>
          <w:ilvl w:val="0"/>
          <w:numId w:val="2"/>
        </w:numPr>
        <w:spacing w:after="80" w:line="280"/>
      </w:pPr>
      <w:r>
        <w:t xml:space="preserve">Lancement d'OBSERVABILITY avec ingestion d'événements et tracing distribué.</w:t>
      </w:r>
    </w:p>
    <w:p>
      <w:pPr>
        <w:pStyle w:val="ListParagraph"/>
        <w:numPr>
          <w:ilvl w:val="0"/>
          <w:numId w:val="2"/>
        </w:numPr>
        <w:spacing w:after="80" w:line="280"/>
      </w:pPr>
      <w:r>
        <w:t xml:space="preserve">Intégrations natives avec frameworks d'agents populaires (LangChain, Autogen, CrewAI).</w:t>
      </w:r>
    </w:p>
    <w:p>
      <w:pPr>
        <w:pStyle w:val="ListParagraph"/>
        <w:numPr>
          <w:ilvl w:val="0"/>
          <w:numId w:val="2"/>
        </w:numPr>
        <w:spacing w:after="80" w:line="280"/>
      </w:pPr>
      <w:r>
        <w:t xml:space="preserve">Renforcement de REPUTATION avec scoring multi-dimensionnel et détection de fraude.</w:t>
      </w:r>
    </w:p>
    <w:p>
      <w:pPr>
        <w:pStyle w:val="ListParagraph"/>
        <w:numPr>
          <w:ilvl w:val="0"/>
          <w:numId w:val="2"/>
        </w:numPr>
        <w:spacing w:after="80" w:line="280"/>
      </w:pPr>
      <w:r>
        <w:t xml:space="preserve">Programme de partenariat avec plateformes A2A tierces.</w:t>
      </w:r>
    </w:p>
    <w:p>
      <w:pPr>
        <w:pStyle w:val="ListParagraph"/>
        <w:numPr>
          <w:ilvl w:val="0"/>
          <w:numId w:val="2"/>
        </w:numPr>
        <w:spacing w:after="80" w:line="280"/>
      </w:pPr>
      <w:r>
        <w:t xml:space="preserve">Objectif fin de phase : 3 000 agents actifs, 150 opérateurs payants.</w:t>
      </w:r>
    </w:p>
    <w:p>
      <w:pPr>
        <w:pStyle w:val="Heading2"/>
        <w:spacing w:after="160" w:before="280"/>
      </w:pPr>
      <w:r>
        <w:t xml:space="preserve">6.4 Phase 3 — Lancement INSURANCE + NEGOTIATION (M10 à M14)</w:t>
      </w:r>
    </w:p>
    <w:p>
      <w:pPr>
        <w:pStyle w:val="ListParagraph"/>
        <w:numPr>
          <w:ilvl w:val="0"/>
          <w:numId w:val="2"/>
        </w:numPr>
        <w:spacing w:after="80" w:line="280"/>
      </w:pPr>
      <w:r>
        <w:t xml:space="preserve">Lancement d'INSURANCE avec partenaire assurantiel ou réserve interne pour démarrer.</w:t>
      </w:r>
    </w:p>
    <w:p>
      <w:pPr>
        <w:pStyle w:val="ListParagraph"/>
        <w:numPr>
          <w:ilvl w:val="0"/>
          <w:numId w:val="2"/>
        </w:numPr>
        <w:spacing w:after="80" w:line="280"/>
      </w:pPr>
      <w:r>
        <w:t xml:space="preserve">Lancement de NEGOTIATION avec premiers algorithmes (enchères, négociation à deux parties).</w:t>
      </w:r>
    </w:p>
    <w:p>
      <w:pPr>
        <w:pStyle w:val="ListParagraph"/>
        <w:numPr>
          <w:ilvl w:val="0"/>
          <w:numId w:val="2"/>
        </w:numPr>
        <w:spacing w:after="80" w:line="280"/>
      </w:pPr>
      <w:r>
        <w:t xml:space="preserve">Smart contracts on-chain pour ancrage de réputation et signature de contrats négociés.</w:t>
      </w:r>
    </w:p>
    <w:p>
      <w:pPr>
        <w:pStyle w:val="ListParagraph"/>
        <w:numPr>
          <w:ilvl w:val="0"/>
          <w:numId w:val="2"/>
        </w:numPr>
        <w:spacing w:after="80" w:line="280"/>
      </w:pPr>
      <w:r>
        <w:t xml:space="preserve">Sortie de bêta publique, ouverture du self-service.</w:t>
      </w:r>
    </w:p>
    <w:p>
      <w:pPr>
        <w:pStyle w:val="Heading2"/>
        <w:spacing w:after="160" w:before="280"/>
      </w:pPr>
      <w:r>
        <w:t xml:space="preserve">6.5 Phase 4 — Industrialisation et expansion (M14 à M18)</w:t>
      </w:r>
    </w:p>
    <w:p>
      <w:pPr>
        <w:pStyle w:val="ListParagraph"/>
        <w:numPr>
          <w:ilvl w:val="0"/>
          <w:numId w:val="2"/>
        </w:numPr>
        <w:spacing w:after="80" w:line="280"/>
      </w:pPr>
      <w:r>
        <w:t xml:space="preserve">Multi-région (US, EU, APAC).</w:t>
      </w:r>
    </w:p>
    <w:p>
      <w:pPr>
        <w:pStyle w:val="ListParagraph"/>
        <w:numPr>
          <w:ilvl w:val="0"/>
          <w:numId w:val="2"/>
        </w:numPr>
        <w:spacing w:after="80" w:line="280"/>
      </w:pPr>
      <w:r>
        <w:t xml:space="preserve">API d'intégration enterprise pour grands comptes.</w:t>
      </w:r>
    </w:p>
    <w:p>
      <w:pPr>
        <w:pStyle w:val="ListParagraph"/>
        <w:numPr>
          <w:ilvl w:val="0"/>
          <w:numId w:val="2"/>
        </w:numPr>
        <w:spacing w:after="80" w:line="280"/>
      </w:pPr>
      <w:r>
        <w:t xml:space="preserve">Standardisation : ouverture du protocole de réputation à l'écosystème.</w:t>
      </w:r>
    </w:p>
    <w:p>
      <w:pPr>
        <w:pStyle w:val="ListParagraph"/>
        <w:numPr>
          <w:ilvl w:val="0"/>
          <w:numId w:val="2"/>
        </w:numPr>
        <w:spacing w:after="80" w:line="280"/>
      </w:pPr>
      <w:r>
        <w:t xml:space="preserve">Levée de fonds Série A si traction confirmée.</w:t>
      </w:r>
    </w:p>
    <w:p>
      <w:pPr>
        <w:pStyle w:val="ListParagraph"/>
        <w:numPr>
          <w:ilvl w:val="0"/>
          <w:numId w:val="2"/>
        </w:numPr>
        <w:spacing w:after="80" w:line="280"/>
      </w:pPr>
      <w:r>
        <w:t xml:space="preserve">Objectif fin de phase : 10 000 agents actifs, 600 opérateurs payants.</w:t>
      </w:r>
    </w:p>
    <w:p>
      <w:r>
        <w:br w:type="page"/>
      </w:r>
    </w:p>
    <w:p>
      <w:pPr>
        <w:pStyle w:val="Heading1"/>
        <w:spacing w:after="200" w:before="360"/>
      </w:pPr>
      <w:r>
        <w:t xml:space="preserve">7. Gouvernance projet et équipe</w:t>
      </w:r>
    </w:p>
    <w:p>
      <w:pPr>
        <w:pStyle w:val="Heading2"/>
        <w:spacing w:after="160" w:before="280"/>
      </w:pPr>
      <w:r>
        <w:t xml:space="preserve">7.1 Équipe fondatrice cible</w:t>
      </w:r>
    </w:p>
    <w:p>
      <w:pPr>
        <w:pStyle w:val="ListParagraph"/>
        <w:numPr>
          <w:ilvl w:val="0"/>
          <w:numId w:val="2"/>
        </w:numPr>
        <w:spacing w:after="80" w:line="280"/>
      </w:pPr>
      <w:r>
        <w:t xml:space="preserve">Un fondateur produit / business assurant la vision, le go-to-market et les partenariats.</w:t>
      </w:r>
    </w:p>
    <w:p>
      <w:pPr>
        <w:pStyle w:val="ListParagraph"/>
        <w:numPr>
          <w:ilvl w:val="0"/>
          <w:numId w:val="2"/>
        </w:numPr>
        <w:spacing w:after="80" w:line="280"/>
      </w:pPr>
      <w:r>
        <w:t xml:space="preserve">Un fondateur technique senior expérimenté en systèmes distribués et en cryptographie appliquée.</w:t>
      </w:r>
    </w:p>
    <w:p>
      <w:pPr>
        <w:pStyle w:val="ListParagraph"/>
        <w:numPr>
          <w:ilvl w:val="0"/>
          <w:numId w:val="2"/>
        </w:numPr>
        <w:spacing w:after="80" w:line="280"/>
      </w:pPr>
      <w:r>
        <w:t xml:space="preserve">Un troisième profil hybride développeur / DevRel pour la documentation et la relation communauté.</w:t>
      </w:r>
    </w:p>
    <w:p>
      <w:pPr>
        <w:pStyle w:val="Heading2"/>
        <w:spacing w:after="160" w:before="280"/>
      </w:pPr>
      <w:r>
        <w:t xml:space="preserve">7.2 Comités et instances</w:t>
      </w:r>
    </w:p>
    <w:p>
      <w:pPr>
        <w:pStyle w:val="ListParagraph"/>
        <w:numPr>
          <w:ilvl w:val="0"/>
          <w:numId w:val="2"/>
        </w:numPr>
        <w:spacing w:after="80" w:line="280"/>
      </w:pPr>
      <w:r>
        <w:t xml:space="preserve">Comité technique hebdomadaire pour les choix d'architecture et la priorisation backlog.</w:t>
      </w:r>
    </w:p>
    <w:p>
      <w:pPr>
        <w:pStyle w:val="ListParagraph"/>
        <w:numPr>
          <w:ilvl w:val="0"/>
          <w:numId w:val="2"/>
        </w:numPr>
        <w:spacing w:after="80" w:line="280"/>
      </w:pPr>
      <w:r>
        <w:t xml:space="preserve">Comité produit bi-mensuel impliquant des opérateurs pilotes.</w:t>
      </w:r>
    </w:p>
    <w:p>
      <w:pPr>
        <w:pStyle w:val="ListParagraph"/>
        <w:numPr>
          <w:ilvl w:val="0"/>
          <w:numId w:val="2"/>
        </w:numPr>
        <w:spacing w:after="80" w:line="280"/>
      </w:pPr>
      <w:r>
        <w:t xml:space="preserve">Conseil consultatif (advisory board) trimestriel composé d'experts agents IA, blockchain et assurance.</w:t>
      </w:r>
    </w:p>
    <w:p>
      <w:pPr>
        <w:pStyle w:val="Heading2"/>
        <w:spacing w:after="160" w:before="280"/>
      </w:pPr>
      <w:r>
        <w:t xml:space="preserve">7.3 Méthodologie</w:t>
      </w:r>
    </w:p>
    <w:p>
      <w:pPr>
        <w:pStyle w:val="ListParagraph"/>
        <w:numPr>
          <w:ilvl w:val="0"/>
          <w:numId w:val="2"/>
        </w:numPr>
        <w:spacing w:after="80" w:line="280"/>
      </w:pPr>
      <w:r>
        <w:t xml:space="preserve">Cycle agile en sprints de deux semaines.</w:t>
      </w:r>
    </w:p>
    <w:p>
      <w:pPr>
        <w:pStyle w:val="ListParagraph"/>
        <w:numPr>
          <w:ilvl w:val="0"/>
          <w:numId w:val="2"/>
        </w:numPr>
        <w:spacing w:after="80" w:line="280"/>
      </w:pPr>
      <w:r>
        <w:t xml:space="preserve">Releases continues sur les services non critiques.</w:t>
      </w:r>
    </w:p>
    <w:p>
      <w:pPr>
        <w:pStyle w:val="ListParagraph"/>
        <w:numPr>
          <w:ilvl w:val="0"/>
          <w:numId w:val="2"/>
        </w:numPr>
        <w:spacing w:after="80" w:line="280"/>
      </w:pPr>
      <w:r>
        <w:t xml:space="preserve">Releases versionnées et stabilisées sur les API publiques (semver strict).</w:t>
      </w:r>
    </w:p>
    <w:p>
      <w:pPr>
        <w:pStyle w:val="ListParagraph"/>
        <w:numPr>
          <w:ilvl w:val="0"/>
          <w:numId w:val="2"/>
        </w:numPr>
        <w:spacing w:after="80" w:line="280"/>
      </w:pPr>
      <w:r>
        <w:t xml:space="preserve">Rétention d'au moins 90 jours pour les anciennes versions d'API afin de préserver les agents tiers.</w:t>
      </w:r>
    </w:p>
    <w:p>
      <w:pPr>
        <w:pStyle w:val="Heading2"/>
        <w:spacing w:after="160" w:before="280"/>
      </w:pPr>
      <w:r>
        <w:t xml:space="preserve">7.4 Indicateurs de pilotage</w:t>
      </w:r>
    </w:p>
    <w:p>
      <w:pPr>
        <w:pStyle w:val="ListParagraph"/>
        <w:numPr>
          <w:ilvl w:val="0"/>
          <w:numId w:val="2"/>
        </w:numPr>
        <w:spacing w:after="80" w:line="280"/>
      </w:pPr>
      <w:r>
        <w:t xml:space="preserve">Croissance mensuelle des MAA (agents actifs mensuels).</w:t>
      </w:r>
    </w:p>
    <w:p>
      <w:pPr>
        <w:pStyle w:val="ListParagraph"/>
        <w:numPr>
          <w:ilvl w:val="0"/>
          <w:numId w:val="2"/>
        </w:numPr>
        <w:spacing w:after="80" w:line="280"/>
      </w:pPr>
      <w:r>
        <w:t xml:space="preserve">Net revenue retention par opérateur.</w:t>
      </w:r>
    </w:p>
    <w:p>
      <w:pPr>
        <w:pStyle w:val="ListParagraph"/>
        <w:numPr>
          <w:ilvl w:val="0"/>
          <w:numId w:val="2"/>
        </w:numPr>
        <w:spacing w:after="80" w:line="280"/>
      </w:pPr>
      <w:r>
        <w:t xml:space="preserve">Taux d'adoption multi-modules (objectif : 50 % d'agents utilisant 2+ modules à M+12).</w:t>
      </w:r>
    </w:p>
    <w:p>
      <w:pPr>
        <w:pStyle w:val="ListParagraph"/>
        <w:numPr>
          <w:ilvl w:val="0"/>
          <w:numId w:val="2"/>
        </w:numPr>
        <w:spacing w:after="80" w:line="280"/>
      </w:pPr>
      <w:r>
        <w:t xml:space="preserve">Latence p95 et taux d'erreur par module.</w:t>
      </w:r>
    </w:p>
    <w:p>
      <w:pPr>
        <w:pStyle w:val="ListParagraph"/>
        <w:numPr>
          <w:ilvl w:val="0"/>
          <w:numId w:val="2"/>
        </w:numPr>
        <w:spacing w:after="80" w:line="280"/>
      </w:pPr>
      <w:r>
        <w:t xml:space="preserve">Nombre d'intégrations tierces actives.</w:t>
      </w:r>
    </w:p>
    <w:p>
      <w:r>
        <w:br w:type="page"/>
      </w:r>
    </w:p>
    <w:p>
      <w:pPr>
        <w:pStyle w:val="Heading1"/>
        <w:spacing w:after="200" w:before="360"/>
      </w:pPr>
      <w:r>
        <w:t xml:space="preserve">8. Analyse des risques</w:t>
      </w:r>
    </w:p>
    <w:p>
      <w:pPr>
        <w:spacing w:after="120" w:line="300"/>
        <w:jc w:val="both"/>
      </w:pPr>
      <w:r>
        <w:t xml:space="preserve">Les risques principaux sont catégorisés et associés à des stratégies de mitigation explicites.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Risque</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Probabilité</w:t>
            </w:r>
          </w:p>
        </w:tc>
        <w:tc>
          <w:tcPr>
            <w:tcW w:type="dxa" w:w="1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center"/>
            </w:pPr>
            <w:r>
              <w:rPr>
                <w:b/>
                <w:bCs/>
                <w:color w:val="FFFFFF"/>
                <w:sz w:val="20"/>
                <w:szCs w:val="20"/>
              </w:rPr>
              <w:t xml:space="preserve">Impact</w:t>
            </w:r>
          </w:p>
        </w:tc>
        <w:tc>
          <w:tcPr>
            <w:tcW w:type="dxa" w:w="4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0"/>
                <w:szCs w:val="20"/>
              </w:rPr>
              <w:t xml:space="preserve">Mitigation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Adoption agentique plus lente que prévu</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Moyenne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Élevé</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Lancer prioritairement REPUTATION et MEMORY, qui sont utiles dès aujourd'hui à des opérateurs gérant des agents existants.</w:t>
            </w:r>
          </w:p>
        </w:tc>
      </w:tr>
      <w:tr>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Entrée d'un acteur établi (Stripe, Coinbase, AWS)</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Élevée</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Critique</w:t>
            </w:r>
          </w:p>
        </w:tc>
        <w:tc>
          <w:tcPr>
            <w:tcW w:type="dxa" w:w="41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Construire un effet de plateforme via l'intégration des cinq modules ; ouvrir le standard de réputation ; viser une acquisition possible.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Régulation défavorable des agents autonomes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Moyenne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Élevé</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Conformité by design, KYB des opérateurs, lobbying via associations professionnelles, structuration entité dans juridiction favorable.</w:t>
            </w:r>
          </w:p>
        </w:tc>
      </w:tr>
      <w:tr>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Sybil attacks et manipulation de réputation</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Élevée</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Moyen</w:t>
            </w:r>
          </w:p>
        </w:tc>
        <w:tc>
          <w:tcPr>
            <w:tcW w:type="dxa" w:w="41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Coût d'enregistrement non nul, ML de détection, audit régulier, mécanisme de slashing pour comportements frauduleux.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Perte de fonds sur module INSURANCE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Moyenne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Élevé</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Démarrer avec couverture limitée, partenariat assurantiel traditionnel, pricing prudent, plafond global d'engagement.</w:t>
            </w:r>
          </w:p>
        </w:tc>
      </w:tr>
      <w:tr>
        <w:tc>
          <w:tcPr>
            <w:tcW w:type="dxa" w:w="2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Volatilité réglementaire stablecoin</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Moyenne</w:t>
            </w:r>
          </w:p>
        </w:tc>
        <w:tc>
          <w:tcPr>
            <w:tcW w:type="dxa" w:w="14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center"/>
            </w:pPr>
            <w:r>
              <w:rPr>
                <w:sz w:val="20"/>
                <w:szCs w:val="20"/>
              </w:rPr>
              <w:t xml:space="preserve">Moyen</w:t>
            </w:r>
          </w:p>
        </w:tc>
        <w:tc>
          <w:tcPr>
            <w:tcW w:type="dxa" w:w="416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pPr>
              <w:jc w:val="left"/>
            </w:pPr>
            <w:r>
              <w:rPr>
                <w:sz w:val="20"/>
                <w:szCs w:val="20"/>
              </w:rPr>
              <w:t xml:space="preserve">Support multi-stablecoin, plan B fiat via processeur traditionnel, veille réglementaire active.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Faille de sécurité majeure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Faible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sz w:val="20"/>
                <w:szCs w:val="20"/>
              </w:rPr>
              <w:t xml:space="preserve">Critique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sz w:val="20"/>
                <w:szCs w:val="20"/>
              </w:rPr>
              <w:t xml:space="preserve">Audits réguliers, bug bounty, séparation stricte des wallets chauds et froids, assurance cyber.</w:t>
            </w:r>
          </w:p>
        </w:tc>
      </w:tr>
    </w:tbl>
    <w:p>
      <w:pPr>
        <w:spacing w:after="100"/>
      </w:pPr>
      <w:r>
        <w:t xml:space="preserve"/>
      </w:r>
    </w:p>
    <w:p>
      <w:r>
        <w:br w:type="page"/>
      </w:r>
    </w:p>
    <w:p>
      <w:pPr>
        <w:pStyle w:val="Heading1"/>
        <w:spacing w:after="200" w:before="360"/>
      </w:pPr>
      <w:r>
        <w:t xml:space="preserve">9. Livrables attendus</w:t>
      </w:r>
    </w:p>
    <w:p>
      <w:pPr>
        <w:pStyle w:val="Heading2"/>
        <w:spacing w:after="160" w:before="280"/>
      </w:pPr>
      <w:r>
        <w:t xml:space="preserve">9.1 Livrables produit</w:t>
      </w:r>
    </w:p>
    <w:p>
      <w:pPr>
        <w:pStyle w:val="ListParagraph"/>
        <w:numPr>
          <w:ilvl w:val="0"/>
          <w:numId w:val="2"/>
        </w:numPr>
        <w:spacing w:after="80" w:line="280"/>
      </w:pPr>
      <w:r>
        <w:t xml:space="preserve">Cinq modules opérationnels avec API MCP, REST et SDK (TypeScript et Python prioritaires).</w:t>
      </w:r>
    </w:p>
    <w:p>
      <w:pPr>
        <w:pStyle w:val="ListParagraph"/>
        <w:numPr>
          <w:ilvl w:val="0"/>
          <w:numId w:val="2"/>
        </w:numPr>
        <w:spacing w:after="80" w:line="280"/>
      </w:pPr>
      <w:r>
        <w:t xml:space="preserve">Console opérateur web responsive.</w:t>
      </w:r>
    </w:p>
    <w:p>
      <w:pPr>
        <w:pStyle w:val="ListParagraph"/>
        <w:numPr>
          <w:ilvl w:val="0"/>
          <w:numId w:val="2"/>
        </w:numPr>
        <w:spacing w:after="80" w:line="280"/>
      </w:pPr>
      <w:r>
        <w:t xml:space="preserve">Documentation publique complète (concepts, références API, tutoriels, exemples de code).</w:t>
      </w:r>
    </w:p>
    <w:p>
      <w:pPr>
        <w:pStyle w:val="ListParagraph"/>
        <w:numPr>
          <w:ilvl w:val="0"/>
          <w:numId w:val="2"/>
        </w:numPr>
        <w:spacing w:after="80" w:line="280"/>
      </w:pPr>
      <w:r>
        <w:t xml:space="preserve">SDK officiels TypeScript et Python, communautaires pour Go et Rust.</w:t>
      </w:r>
    </w:p>
    <w:p>
      <w:pPr>
        <w:pStyle w:val="ListParagraph"/>
        <w:numPr>
          <w:ilvl w:val="0"/>
          <w:numId w:val="2"/>
        </w:numPr>
        <w:spacing w:after="80" w:line="280"/>
      </w:pPr>
      <w:r>
        <w:t xml:space="preserve">Plugins ou intégrations pour les frameworks d'agents les plus utilisés.</w:t>
      </w:r>
    </w:p>
    <w:p>
      <w:pPr>
        <w:pStyle w:val="Heading2"/>
        <w:spacing w:after="160" w:before="280"/>
      </w:pPr>
      <w:r>
        <w:t xml:space="preserve">9.2 Livrables techniques</w:t>
      </w:r>
    </w:p>
    <w:p>
      <w:pPr>
        <w:pStyle w:val="ListParagraph"/>
        <w:numPr>
          <w:ilvl w:val="0"/>
          <w:numId w:val="2"/>
        </w:numPr>
        <w:spacing w:after="80" w:line="280"/>
      </w:pPr>
      <w:r>
        <w:t xml:space="preserve">Infrastructure as Code (Terraform) reproductible.</w:t>
      </w:r>
    </w:p>
    <w:p>
      <w:pPr>
        <w:pStyle w:val="ListParagraph"/>
        <w:numPr>
          <w:ilvl w:val="0"/>
          <w:numId w:val="2"/>
        </w:numPr>
        <w:spacing w:after="80" w:line="280"/>
      </w:pPr>
      <w:r>
        <w:t xml:space="preserve">Pipeline CI/CD complet.</w:t>
      </w:r>
    </w:p>
    <w:p>
      <w:pPr>
        <w:pStyle w:val="ListParagraph"/>
        <w:numPr>
          <w:ilvl w:val="0"/>
          <w:numId w:val="2"/>
        </w:numPr>
        <w:spacing w:after="80" w:line="280"/>
      </w:pPr>
      <w:r>
        <w:t xml:space="preserve">Suite de tests unitaires, intégration et end-to-end avec couverture supérieure à 80 %.</w:t>
      </w:r>
    </w:p>
    <w:p>
      <w:pPr>
        <w:pStyle w:val="ListParagraph"/>
        <w:numPr>
          <w:ilvl w:val="0"/>
          <w:numId w:val="2"/>
        </w:numPr>
        <w:spacing w:after="80" w:line="280"/>
      </w:pPr>
      <w:r>
        <w:t xml:space="preserve">Tests de charge automatisés exécutés à chaque release majeure.</w:t>
      </w:r>
    </w:p>
    <w:p>
      <w:pPr>
        <w:pStyle w:val="ListParagraph"/>
        <w:numPr>
          <w:ilvl w:val="0"/>
          <w:numId w:val="2"/>
        </w:numPr>
        <w:spacing w:after="80" w:line="280"/>
      </w:pPr>
      <w:r>
        <w:t xml:space="preserve">Plan de continuité d'activité et procédures de disaster recovery testées.</w:t>
      </w:r>
    </w:p>
    <w:p>
      <w:pPr>
        <w:pStyle w:val="Heading2"/>
        <w:spacing w:after="160" w:before="280"/>
      </w:pPr>
      <w:r>
        <w:t xml:space="preserve">9.3 Livrables business et conformité</w:t>
      </w:r>
    </w:p>
    <w:p>
      <w:pPr>
        <w:pStyle w:val="ListParagraph"/>
        <w:numPr>
          <w:ilvl w:val="0"/>
          <w:numId w:val="2"/>
        </w:numPr>
        <w:spacing w:after="80" w:line="280"/>
      </w:pPr>
      <w:r>
        <w:t xml:space="preserve">Conditions générales d'utilisation adaptées au cas A2A.</w:t>
      </w:r>
    </w:p>
    <w:p>
      <w:pPr>
        <w:pStyle w:val="ListParagraph"/>
        <w:numPr>
          <w:ilvl w:val="0"/>
          <w:numId w:val="2"/>
        </w:numPr>
        <w:spacing w:after="80" w:line="280"/>
      </w:pPr>
      <w:r>
        <w:t xml:space="preserve">Data Processing Agreement RGPD pour opérateurs européens.</w:t>
      </w:r>
    </w:p>
    <w:p>
      <w:pPr>
        <w:pStyle w:val="ListParagraph"/>
        <w:numPr>
          <w:ilvl w:val="0"/>
          <w:numId w:val="2"/>
        </w:numPr>
        <w:spacing w:after="80" w:line="280"/>
      </w:pPr>
      <w:r>
        <w:t xml:space="preserve">Politique de modération et procédure de gestion des litiges.</w:t>
      </w:r>
    </w:p>
    <w:p>
      <w:pPr>
        <w:pStyle w:val="ListParagraph"/>
        <w:numPr>
          <w:ilvl w:val="0"/>
          <w:numId w:val="2"/>
        </w:numPr>
        <w:spacing w:after="80" w:line="280"/>
      </w:pPr>
      <w:r>
        <w:t xml:space="preserve">Audit de sécurité et rapport de pénétration tests.</w:t>
      </w:r>
    </w:p>
    <w:p>
      <w:pPr>
        <w:pStyle w:val="ListParagraph"/>
        <w:numPr>
          <w:ilvl w:val="0"/>
          <w:numId w:val="2"/>
        </w:numPr>
        <w:spacing w:after="80" w:line="280"/>
      </w:pPr>
      <w:r>
        <w:t xml:space="preserve">Documentation de conformité MiCA si applicable.</w:t>
      </w:r>
    </w:p>
    <w:p>
      <w:pPr>
        <w:pStyle w:val="Heading2"/>
        <w:spacing w:after="160" w:before="280"/>
      </w:pPr>
      <w:r>
        <w:t xml:space="preserve">9.4 Critères de validation</w:t>
      </w:r>
    </w:p>
    <w:p>
      <w:pPr>
        <w:pStyle w:val="ListParagraph"/>
        <w:numPr>
          <w:ilvl w:val="0"/>
          <w:numId w:val="2"/>
        </w:numPr>
        <w:spacing w:after="80" w:line="280"/>
      </w:pPr>
      <w:r>
        <w:t xml:space="preserve">Atteinte des objectifs quantitatifs définis pour chaque phase de la roadmap.</w:t>
      </w:r>
    </w:p>
    <w:p>
      <w:pPr>
        <w:pStyle w:val="ListParagraph"/>
        <w:numPr>
          <w:ilvl w:val="0"/>
          <w:numId w:val="2"/>
        </w:numPr>
        <w:spacing w:after="80" w:line="280"/>
      </w:pPr>
      <w:r>
        <w:t xml:space="preserve">Validation des SLA techniques sur 90 jours consécutifs avant promotion en GA.</w:t>
      </w:r>
    </w:p>
    <w:p>
      <w:pPr>
        <w:pStyle w:val="ListParagraph"/>
        <w:numPr>
          <w:ilvl w:val="0"/>
          <w:numId w:val="2"/>
        </w:numPr>
        <w:spacing w:after="80" w:line="280"/>
      </w:pPr>
      <w:r>
        <w:t xml:space="preserve">Retours opérateurs pilotes formalisés et NPS supérieur à 30 avant GA.</w:t>
      </w:r>
    </w:p>
    <w:p>
      <w:pPr>
        <w:pStyle w:val="ListParagraph"/>
        <w:numPr>
          <w:ilvl w:val="0"/>
          <w:numId w:val="2"/>
        </w:numPr>
        <w:spacing w:after="80" w:line="280"/>
      </w:pPr>
      <w:r>
        <w:t xml:space="preserve">Couverture de test et passage des audits de sécurité.</w:t>
      </w:r>
    </w:p>
    <w:p>
      <w:r>
        <w:br w:type="page"/>
      </w:r>
    </w:p>
    <w:p>
      <w:pPr>
        <w:pStyle w:val="Heading1"/>
        <w:spacing w:after="200" w:before="360"/>
      </w:pPr>
      <w:r>
        <w:t xml:space="preserve">10. Annexes</w:t>
      </w:r>
    </w:p>
    <w:p>
      <w:pPr>
        <w:pStyle w:val="Heading2"/>
        <w:spacing w:after="160" w:before="280"/>
      </w:pPr>
      <w:r>
        <w:t xml:space="preserve">10.1 Glossaire</w:t>
      </w:r>
    </w:p>
    <w:p>
      <w:pPr>
        <w:pStyle w:val="ListParagraph"/>
        <w:numPr>
          <w:ilvl w:val="0"/>
          <w:numId w:val="2"/>
        </w:numPr>
        <w:spacing w:after="80" w:line="280"/>
      </w:pPr>
      <w:r>
        <w:rPr>
          <w:b/>
          <w:bCs/>
        </w:rPr>
        <w:t xml:space="preserve">Agent : </w:t>
      </w:r>
      <w:r>
        <w:t xml:space="preserve">logiciel autonome capable de raisonner, planifier et exécuter des actions avec un wallet et une identité propres.</w:t>
      </w:r>
    </w:p>
    <w:p>
      <w:pPr>
        <w:pStyle w:val="ListParagraph"/>
        <w:numPr>
          <w:ilvl w:val="0"/>
          <w:numId w:val="2"/>
        </w:numPr>
        <w:spacing w:after="80" w:line="280"/>
      </w:pPr>
      <w:r>
        <w:rPr>
          <w:b/>
          <w:bCs/>
        </w:rPr>
        <w:t xml:space="preserve">A2A (Agent-to-Agent) : </w:t>
      </w:r>
      <w:r>
        <w:t xml:space="preserve">interaction directe entre deux agents sans intermédiaire humain.</w:t>
      </w:r>
    </w:p>
    <w:p>
      <w:pPr>
        <w:pStyle w:val="ListParagraph"/>
        <w:numPr>
          <w:ilvl w:val="0"/>
          <w:numId w:val="2"/>
        </w:numPr>
        <w:spacing w:after="80" w:line="280"/>
      </w:pPr>
      <w:r>
        <w:rPr>
          <w:b/>
          <w:bCs/>
        </w:rPr>
        <w:t xml:space="preserve">MCP (Model Context Protocol) : </w:t>
      </w:r>
      <w:r>
        <w:t xml:space="preserve">protocole standardisé exposant outils et données aux agents IA.</w:t>
      </w:r>
    </w:p>
    <w:p>
      <w:pPr>
        <w:pStyle w:val="ListParagraph"/>
        <w:numPr>
          <w:ilvl w:val="0"/>
          <w:numId w:val="2"/>
        </w:numPr>
        <w:spacing w:after="80" w:line="280"/>
      </w:pPr>
      <w:r>
        <w:rPr>
          <w:b/>
          <w:bCs/>
        </w:rPr>
        <w:t xml:space="preserve">Opérateur : </w:t>
      </w:r>
      <w:r>
        <w:t xml:space="preserve">personne physique ou morale qui possède, configure et facture un ou plusieurs agents.</w:t>
      </w:r>
    </w:p>
    <w:p>
      <w:pPr>
        <w:pStyle w:val="ListParagraph"/>
        <w:numPr>
          <w:ilvl w:val="0"/>
          <w:numId w:val="2"/>
        </w:numPr>
        <w:spacing w:after="80" w:line="280"/>
      </w:pPr>
      <w:r>
        <w:rPr>
          <w:b/>
          <w:bCs/>
        </w:rPr>
        <w:t xml:space="preserve">x402 : </w:t>
      </w:r>
      <w:r>
        <w:t xml:space="preserve">protocole de paiement HTTP natif basé sur le code 402, conçu pour les paiements agentiques.</w:t>
      </w:r>
    </w:p>
    <w:p>
      <w:pPr>
        <w:pStyle w:val="ListParagraph"/>
        <w:numPr>
          <w:ilvl w:val="0"/>
          <w:numId w:val="2"/>
        </w:numPr>
        <w:spacing w:after="80" w:line="280"/>
      </w:pPr>
      <w:r>
        <w:rPr>
          <w:b/>
          <w:bCs/>
        </w:rPr>
        <w:t xml:space="preserve">Stablecoin : </w:t>
      </w:r>
      <w:r>
        <w:t xml:space="preserve">cryptomonnaie indexée sur une devise fiat (USDC est indexé sur le dollar américain).</w:t>
      </w:r>
    </w:p>
    <w:p>
      <w:pPr>
        <w:pStyle w:val="ListParagraph"/>
        <w:numPr>
          <w:ilvl w:val="0"/>
          <w:numId w:val="2"/>
        </w:numPr>
        <w:spacing w:after="80" w:line="280"/>
      </w:pPr>
      <w:r>
        <w:rPr>
          <w:b/>
          <w:bCs/>
        </w:rPr>
        <w:t xml:space="preserve">DID (Decentralized Identifier) : </w:t>
      </w:r>
      <w:r>
        <w:t xml:space="preserve">identifiant cryptographique décentralisé indépendant d'une autorité centrale.</w:t>
      </w:r>
    </w:p>
    <w:p>
      <w:pPr>
        <w:pStyle w:val="ListParagraph"/>
        <w:numPr>
          <w:ilvl w:val="0"/>
          <w:numId w:val="2"/>
        </w:numPr>
        <w:spacing w:after="80" w:line="280"/>
      </w:pPr>
      <w:r>
        <w:rPr>
          <w:b/>
          <w:bCs/>
        </w:rPr>
        <w:t xml:space="preserve">SLA (Service Level Agreement) : </w:t>
      </w:r>
      <w:r>
        <w:t xml:space="preserve">engagement contractuel de niveau de service.</w:t>
      </w:r>
    </w:p>
    <w:p>
      <w:pPr>
        <w:pStyle w:val="Heading2"/>
        <w:spacing w:after="160" w:before="280"/>
      </w:pPr>
      <w:r>
        <w:t xml:space="preserve">10.2 Concurrents identifiés et différenciation</w:t>
      </w:r>
    </w:p>
    <w:p>
      <w:pPr>
        <w:pStyle w:val="ListParagraph"/>
        <w:numPr>
          <w:ilvl w:val="0"/>
          <w:numId w:val="2"/>
        </w:numPr>
        <w:spacing w:after="80" w:line="280"/>
      </w:pPr>
      <w:r>
        <w:rPr>
          <w:b/>
          <w:bCs/>
        </w:rPr>
        <w:t xml:space="preserve">MoonPay Agents, Coinbase x402, Nevermined : </w:t>
      </w:r>
      <w:r>
        <w:t xml:space="preserve">se concentrent sur les rails de paiement. AgentStack se positionne sur la couche de services au-dessus.</w:t>
      </w:r>
    </w:p>
    <w:p>
      <w:pPr>
        <w:pStyle w:val="ListParagraph"/>
        <w:numPr>
          <w:ilvl w:val="0"/>
          <w:numId w:val="2"/>
        </w:numPr>
        <w:spacing w:after="80" w:line="280"/>
      </w:pPr>
      <w:r>
        <w:rPr>
          <w:b/>
          <w:bCs/>
        </w:rPr>
        <w:t xml:space="preserve">AgenticTrade : </w:t>
      </w:r>
      <w:r>
        <w:t xml:space="preserve">marketplace d'API monétisées pour agents. Complémentaire d'AgentStack qui peut s'y lister.</w:t>
      </w:r>
    </w:p>
    <w:p>
      <w:pPr>
        <w:pStyle w:val="ListParagraph"/>
        <w:numPr>
          <w:ilvl w:val="0"/>
          <w:numId w:val="2"/>
        </w:numPr>
        <w:spacing w:after="80" w:line="280"/>
      </w:pPr>
      <w:r>
        <w:rPr>
          <w:b/>
          <w:bCs/>
        </w:rPr>
        <w:t xml:space="preserve">Datadog, New Relic : </w:t>
      </w:r>
      <w:r>
        <w:t xml:space="preserve">leaders de l'observabilité humaine, mais sans support natif des sémantiques A2A.</w:t>
      </w:r>
    </w:p>
    <w:p>
      <w:pPr>
        <w:pStyle w:val="ListParagraph"/>
        <w:numPr>
          <w:ilvl w:val="0"/>
          <w:numId w:val="2"/>
        </w:numPr>
        <w:spacing w:after="80" w:line="280"/>
      </w:pPr>
      <w:r>
        <w:rPr>
          <w:b/>
          <w:bCs/>
        </w:rPr>
        <w:t xml:space="preserve">Mem0, Letta, Zep : </w:t>
      </w:r>
      <w:r>
        <w:t xml:space="preserve">fournisseurs de mémoire pour agents, mais sans intégration aux services de réputation et d'assurance.</w:t>
      </w:r>
    </w:p>
    <w:p>
      <w:pPr>
        <w:pStyle w:val="Heading2"/>
        <w:spacing w:after="160" w:before="280"/>
      </w:pPr>
      <w:r>
        <w:t xml:space="preserve">10.3 Hypothèses de travail</w:t>
      </w:r>
    </w:p>
    <w:p>
      <w:pPr>
        <w:pStyle w:val="ListParagraph"/>
        <w:numPr>
          <w:ilvl w:val="0"/>
          <w:numId w:val="2"/>
        </w:numPr>
        <w:spacing w:after="80" w:line="280"/>
      </w:pPr>
      <w:r>
        <w:t xml:space="preserve">L'écosystème agentique poursuivra sa croissance soutenue sur 24 à 36 mois.</w:t>
      </w:r>
    </w:p>
    <w:p>
      <w:pPr>
        <w:pStyle w:val="ListParagraph"/>
        <w:numPr>
          <w:ilvl w:val="0"/>
          <w:numId w:val="2"/>
        </w:numPr>
        <w:spacing w:after="80" w:line="280"/>
      </w:pPr>
      <w:r>
        <w:t xml:space="preserve">Le standard MCP s'imposera comme protocole d'interopérabilité dominant.</w:t>
      </w:r>
    </w:p>
    <w:p>
      <w:pPr>
        <w:pStyle w:val="ListParagraph"/>
        <w:numPr>
          <w:ilvl w:val="0"/>
          <w:numId w:val="2"/>
        </w:numPr>
        <w:spacing w:after="80" w:line="280"/>
      </w:pPr>
      <w:r>
        <w:t xml:space="preserve">Les paiements stablecoin pour agents seront acceptés par les régulateurs majeurs.</w:t>
      </w:r>
    </w:p>
    <w:p>
      <w:pPr>
        <w:pStyle w:val="ListParagraph"/>
        <w:numPr>
          <w:ilvl w:val="0"/>
          <w:numId w:val="2"/>
        </w:numPr>
        <w:spacing w:after="80" w:line="280"/>
      </w:pPr>
      <w:r>
        <w:t xml:space="preserve">Un sous-ensemble significatif d'agents fonctionnera de manière persistante (pas uniquement éphémère).</w:t>
      </w:r>
    </w:p>
    <w:p>
      <w:pPr>
        <w:pStyle w:val="Heading2"/>
        <w:spacing w:after="160" w:before="280"/>
      </w:pPr>
      <w:r>
        <w:t xml:space="preserve">10.4 Questions ouvertes à arbitrer</w:t>
      </w:r>
    </w:p>
    <w:p>
      <w:pPr>
        <w:pStyle w:val="ListParagraph"/>
        <w:numPr>
          <w:ilvl w:val="0"/>
          <w:numId w:val="2"/>
        </w:numPr>
        <w:spacing w:after="80" w:line="280"/>
      </w:pPr>
      <w:r>
        <w:t xml:space="preserve">Choix d'une juridiction d'incorporation : France, Estonie, Delaware, ou Suisse.</w:t>
      </w:r>
    </w:p>
    <w:p>
      <w:pPr>
        <w:pStyle w:val="ListParagraph"/>
        <w:numPr>
          <w:ilvl w:val="0"/>
          <w:numId w:val="2"/>
        </w:numPr>
        <w:spacing w:after="80" w:line="280"/>
      </w:pPr>
      <w:r>
        <w:t xml:space="preserve">Stratégie de financement : bootstrapping, business angels ou fonds spécialisé crypto/AI.</w:t>
      </w:r>
    </w:p>
    <w:p>
      <w:pPr>
        <w:pStyle w:val="ListParagraph"/>
        <w:numPr>
          <w:ilvl w:val="0"/>
          <w:numId w:val="2"/>
        </w:numPr>
        <w:spacing w:after="80" w:line="280"/>
      </w:pPr>
      <w:r>
        <w:t xml:space="preserve">Politique d'open source : ouvrir le protocole de réputation dès le lancement ou attendre la traction.</w:t>
      </w:r>
    </w:p>
    <w:p>
      <w:pPr>
        <w:pStyle w:val="ListParagraph"/>
        <w:numPr>
          <w:ilvl w:val="0"/>
          <w:numId w:val="2"/>
        </w:numPr>
        <w:spacing w:after="80" w:line="280"/>
      </w:pPr>
      <w:r>
        <w:t xml:space="preserve">Stratégie de partenariat assurantiel pour démarrer INSURANCE : assureur traditionnel ou DAO.</w:t>
      </w:r>
    </w:p>
    <w:p>
      <w:pPr>
        <w:spacing w:after="100"/>
      </w:pPr>
      <w:r>
        <w:t xml:space="preserve"/>
      </w:r>
    </w:p>
    <w:p>
      <w:pPr>
        <w:spacing w:after="100"/>
      </w:pPr>
      <w:r>
        <w:t xml:space="preserve"/>
      </w:r>
    </w:p>
    <w:p>
      <w:pPr>
        <w:jc w:val="center"/>
      </w:pPr>
      <w:r>
        <w:rPr>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AgentStack — Cahier des charges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AgentStack</dc:title>
  <dc:creator>Johan</dc:creator>
  <dc:description>Plateforme multi-services pour l'économie agentique</dc:description>
  <cp:lastModifiedBy>Un-named</cp:lastModifiedBy>
  <cp:revision>1</cp:revision>
  <dcterms:created xsi:type="dcterms:W3CDTF">2026-04-27T18:16:58.316Z</dcterms:created>
  <dcterms:modified xsi:type="dcterms:W3CDTF">2026-04-27T18:16:58.317Z</dcterms:modified>
</cp:coreProperties>
</file>

<file path=docProps/custom.xml><?xml version="1.0" encoding="utf-8"?>
<Properties xmlns="http://schemas.openxmlformats.org/officeDocument/2006/custom-properties" xmlns:vt="http://schemas.openxmlformats.org/officeDocument/2006/docPropsVTypes"/>
</file>