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Pr="00564BB2" w:rsidRDefault="004C7196"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Topic</w:t>
      </w:r>
    </w:p>
    <w:p w14:paraId="71E9ACF4" w14:textId="301369E2" w:rsidR="007E4710" w:rsidRPr="00564BB2" w:rsidRDefault="003F55A6" w:rsidP="00184A6B">
      <w:pPr>
        <w:spacing w:line="480" w:lineRule="auto"/>
        <w:jc w:val="center"/>
        <w:rPr>
          <w:rFonts w:ascii="Times New Roman" w:hAnsi="Times New Roman" w:cs="Times New Roman"/>
          <w:sz w:val="24"/>
          <w:szCs w:val="24"/>
        </w:rPr>
      </w:pPr>
      <w:r w:rsidRPr="00564BB2">
        <w:rPr>
          <w:rFonts w:ascii="Times New Roman" w:hAnsi="Times New Roman" w:cs="Times New Roman"/>
          <w:sz w:val="24"/>
          <w:szCs w:val="24"/>
        </w:rPr>
        <w:t xml:space="preserve">Synthesis, characterization and application of Ce-doped </w:t>
      </w:r>
      <w:bookmarkStart w:id="0" w:name="_Hlk163162528"/>
      <w:r w:rsidR="0073768A" w:rsidRPr="00564BB2">
        <w:rPr>
          <w:rFonts w:ascii="Times New Roman" w:hAnsi="Times New Roman" w:cs="Times New Roman"/>
          <w:sz w:val="24"/>
          <w:szCs w:val="24"/>
        </w:rPr>
        <w:t>Fe</w:t>
      </w:r>
      <w:r w:rsidR="0073768A" w:rsidRPr="00564BB2">
        <w:rPr>
          <w:rFonts w:ascii="Times New Roman" w:hAnsi="Times New Roman" w:cs="Times New Roman"/>
          <w:sz w:val="24"/>
          <w:szCs w:val="24"/>
          <w:vertAlign w:val="subscript"/>
        </w:rPr>
        <w:t>2</w:t>
      </w:r>
      <w:r w:rsidR="0073768A" w:rsidRPr="00564BB2">
        <w:rPr>
          <w:rFonts w:ascii="Times New Roman" w:hAnsi="Times New Roman" w:cs="Times New Roman"/>
          <w:sz w:val="24"/>
          <w:szCs w:val="24"/>
        </w:rPr>
        <w:t>O</w:t>
      </w:r>
      <w:r w:rsidR="0073768A" w:rsidRPr="00564BB2">
        <w:rPr>
          <w:rFonts w:ascii="Times New Roman" w:hAnsi="Times New Roman" w:cs="Times New Roman"/>
          <w:sz w:val="24"/>
          <w:szCs w:val="24"/>
          <w:vertAlign w:val="subscript"/>
        </w:rPr>
        <w:t>3</w:t>
      </w:r>
      <w:bookmarkEnd w:id="0"/>
      <w:r w:rsidRPr="00564BB2">
        <w:rPr>
          <w:rFonts w:ascii="Times New Roman" w:hAnsi="Times New Roman" w:cs="Times New Roman"/>
          <w:sz w:val="24"/>
          <w:szCs w:val="24"/>
        </w:rPr>
        <w:t xml:space="preserve"> nanoparticle for the </w:t>
      </w:r>
      <w:r w:rsidR="00645BC8" w:rsidRPr="00564BB2">
        <w:rPr>
          <w:rFonts w:ascii="Times New Roman" w:hAnsi="Times New Roman" w:cs="Times New Roman"/>
          <w:sz w:val="24"/>
          <w:szCs w:val="24"/>
        </w:rPr>
        <w:t>removal of methylene blue dye from aqueous solution</w:t>
      </w:r>
    </w:p>
    <w:p w14:paraId="73D1DD3D" w14:textId="77777777" w:rsidR="007E4710" w:rsidRPr="00564BB2" w:rsidRDefault="007E4710"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br w:type="page"/>
      </w:r>
    </w:p>
    <w:p w14:paraId="2D53308E" w14:textId="1F7B3AF2" w:rsidR="007E4710" w:rsidRPr="00564BB2" w:rsidRDefault="007E4710" w:rsidP="00184A6B">
      <w:pPr>
        <w:pStyle w:val="Heading1"/>
        <w:spacing w:line="480" w:lineRule="auto"/>
        <w:rPr>
          <w:rFonts w:ascii="Times New Roman" w:hAnsi="Times New Roman" w:cs="Times New Roman"/>
          <w:sz w:val="24"/>
          <w:szCs w:val="24"/>
        </w:rPr>
      </w:pPr>
      <w:r w:rsidRPr="00564BB2">
        <w:rPr>
          <w:rFonts w:ascii="Times New Roman" w:hAnsi="Times New Roman" w:cs="Times New Roman"/>
          <w:sz w:val="24"/>
          <w:szCs w:val="24"/>
        </w:rPr>
        <w:lastRenderedPageBreak/>
        <w:t>Abstract</w:t>
      </w:r>
    </w:p>
    <w:p w14:paraId="390528C9" w14:textId="77777777" w:rsidR="007E4710" w:rsidRPr="00564BB2" w:rsidRDefault="007E4710" w:rsidP="00184A6B">
      <w:pPr>
        <w:spacing w:line="480" w:lineRule="auto"/>
        <w:rPr>
          <w:rFonts w:ascii="Times New Roman" w:hAnsi="Times New Roman" w:cs="Times New Roman"/>
          <w:sz w:val="24"/>
          <w:szCs w:val="24"/>
        </w:rPr>
      </w:pPr>
    </w:p>
    <w:p w14:paraId="5DB04650" w14:textId="2D02DF81" w:rsidR="00645BC8" w:rsidRPr="00564BB2" w:rsidRDefault="00F81341"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Methylene blue (MB) is a hazardous chemical that is widely found in wastewater, and its removal is critical. One of the most common methods to remove MB is adsorption.</w:t>
      </w:r>
    </w:p>
    <w:p w14:paraId="42D65633" w14:textId="77777777" w:rsidR="004C7196" w:rsidRPr="00564BB2" w:rsidRDefault="004C7196"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br w:type="page"/>
      </w:r>
    </w:p>
    <w:p w14:paraId="0C32CAA9" w14:textId="09B43675" w:rsidR="00113DFF" w:rsidRPr="00564BB2" w:rsidRDefault="002825BF" w:rsidP="00184A6B">
      <w:pPr>
        <w:pStyle w:val="Heading1"/>
        <w:spacing w:line="480" w:lineRule="auto"/>
        <w:jc w:val="center"/>
        <w:rPr>
          <w:rFonts w:ascii="Times New Roman" w:hAnsi="Times New Roman" w:cs="Times New Roman"/>
          <w:color w:val="auto"/>
          <w:sz w:val="24"/>
          <w:szCs w:val="24"/>
        </w:rPr>
      </w:pPr>
      <w:r w:rsidRPr="00564BB2">
        <w:rPr>
          <w:rFonts w:ascii="Times New Roman" w:hAnsi="Times New Roman" w:cs="Times New Roman"/>
          <w:color w:val="auto"/>
          <w:sz w:val="24"/>
          <w:szCs w:val="24"/>
        </w:rPr>
        <w:lastRenderedPageBreak/>
        <w:t xml:space="preserve">CHAPTER </w:t>
      </w:r>
      <w:r w:rsidR="00845A8B" w:rsidRPr="00564BB2">
        <w:rPr>
          <w:rFonts w:ascii="Times New Roman" w:hAnsi="Times New Roman" w:cs="Times New Roman"/>
          <w:color w:val="auto"/>
          <w:sz w:val="24"/>
          <w:szCs w:val="24"/>
        </w:rPr>
        <w:t>ONE</w:t>
      </w:r>
    </w:p>
    <w:p w14:paraId="6C4A000A" w14:textId="1EDD03E9" w:rsidR="00D8646F" w:rsidRPr="00564BB2" w:rsidRDefault="002825BF" w:rsidP="00184A6B">
      <w:pPr>
        <w:pStyle w:val="Heading1"/>
        <w:spacing w:line="480" w:lineRule="auto"/>
        <w:jc w:val="center"/>
        <w:rPr>
          <w:rFonts w:ascii="Times New Roman" w:hAnsi="Times New Roman" w:cs="Times New Roman"/>
          <w:color w:val="auto"/>
          <w:sz w:val="24"/>
          <w:szCs w:val="24"/>
        </w:rPr>
      </w:pPr>
      <w:r w:rsidRPr="00564BB2">
        <w:rPr>
          <w:rFonts w:ascii="Times New Roman" w:hAnsi="Times New Roman" w:cs="Times New Roman"/>
          <w:color w:val="auto"/>
          <w:sz w:val="24"/>
          <w:szCs w:val="24"/>
        </w:rPr>
        <w:t>INTRODUCTION</w:t>
      </w:r>
    </w:p>
    <w:p w14:paraId="420C56E5" w14:textId="68AA5A25" w:rsidR="00D8646F" w:rsidRPr="00564BB2" w:rsidRDefault="00D8646F" w:rsidP="00184A6B">
      <w:pPr>
        <w:pStyle w:val="Heading2"/>
        <w:numPr>
          <w:ilvl w:val="1"/>
          <w:numId w:val="1"/>
        </w:numPr>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BACKGROUND OF STUDY</w:t>
      </w:r>
    </w:p>
    <w:p w14:paraId="40611845" w14:textId="0F044B6B" w:rsidR="00DA7AE9" w:rsidRPr="00564BB2" w:rsidRDefault="00DA7AE9"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564BB2">
        <w:rPr>
          <w:rFonts w:ascii="Times New Roman" w:hAnsi="Times New Roman" w:cs="Times New Roman"/>
          <w:sz w:val="24"/>
          <w:szCs w:val="24"/>
        </w:rPr>
        <w:t xml:space="preserve"> </w:t>
      </w:r>
      <w:r w:rsidRPr="00564BB2">
        <w:rPr>
          <w:rFonts w:ascii="Times New Roman" w:hAnsi="Times New Roman" w:cs="Times New Roman"/>
          <w:sz w:val="24"/>
          <w:szCs w:val="24"/>
        </w:rPr>
        <w:t xml:space="preserve">but are not easily removed. Furthermore, most synthetic dyes are properly non-degradable even with sunlight </w:t>
      </w:r>
      <w:r w:rsidR="009B2FEF" w:rsidRPr="00564BB2">
        <w:rPr>
          <w:rFonts w:ascii="Times New Roman" w:hAnsi="Times New Roman" w:cs="Times New Roman"/>
          <w:sz w:val="24"/>
          <w:szCs w:val="24"/>
        </w:rPr>
        <w:fldChar w:fldCharType="begin"/>
      </w:r>
      <w:r w:rsidR="009B2FEF" w:rsidRPr="00564BB2">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564BB2">
        <w:rPr>
          <w:rFonts w:ascii="Times New Roman" w:hAnsi="Times New Roman" w:cs="Times New Roman"/>
          <w:sz w:val="24"/>
          <w:szCs w:val="24"/>
        </w:rPr>
        <w:fldChar w:fldCharType="separate"/>
      </w:r>
      <w:r w:rsidR="009B2FEF" w:rsidRPr="00564BB2">
        <w:rPr>
          <w:rFonts w:ascii="Times New Roman" w:hAnsi="Times New Roman" w:cs="Times New Roman"/>
          <w:sz w:val="24"/>
          <w:szCs w:val="24"/>
        </w:rPr>
        <w:t>(Mogharabi et al., 2012)</w:t>
      </w:r>
      <w:r w:rsidR="009B2FEF" w:rsidRPr="00564BB2">
        <w:rPr>
          <w:rFonts w:ascii="Times New Roman" w:hAnsi="Times New Roman" w:cs="Times New Roman"/>
          <w:sz w:val="24"/>
          <w:szCs w:val="24"/>
        </w:rPr>
        <w:fldChar w:fldCharType="end"/>
      </w:r>
      <w:r w:rsidRPr="00564BB2">
        <w:rPr>
          <w:rFonts w:ascii="Times New Roman" w:hAnsi="Times New Roman" w:cs="Times New Roman"/>
          <w:sz w:val="24"/>
          <w:szCs w:val="24"/>
        </w:rPr>
        <w:t>.</w:t>
      </w:r>
      <w:r w:rsidR="00B1241D" w:rsidRPr="00564BB2">
        <w:rPr>
          <w:rFonts w:ascii="Times New Roman" w:hAnsi="Times New Roman" w:cs="Times New Roman"/>
          <w:sz w:val="24"/>
          <w:szCs w:val="24"/>
        </w:rPr>
        <w:t xml:space="preserve"> </w:t>
      </w:r>
      <w:r w:rsidR="00736551" w:rsidRPr="00564BB2">
        <w:rPr>
          <w:rFonts w:ascii="Times New Roman" w:hAnsi="Times New Roman" w:cs="Times New Roman"/>
          <w:sz w:val="24"/>
          <w:szCs w:val="24"/>
        </w:rPr>
        <w:t>Recently, there has been an increase in public awareness and concern regarding environmental pollution. Most organic chemicals and pathogens, which are present in aqueous waste effulents discharged from industrial or domestic sources, should essentially</w:t>
      </w:r>
      <w:r w:rsidR="00612115" w:rsidRPr="00564BB2">
        <w:rPr>
          <w:rFonts w:ascii="Times New Roman" w:hAnsi="Times New Roman" w:cs="Times New Roman"/>
          <w:sz w:val="24"/>
          <w:szCs w:val="24"/>
        </w:rPr>
        <w:t xml:space="preserve"> be treated or removed prior to the final discharge to the wate</w:t>
      </w:r>
      <w:r w:rsidR="009B2FEF" w:rsidRPr="00564BB2">
        <w:rPr>
          <w:rFonts w:ascii="Times New Roman" w:hAnsi="Times New Roman" w:cs="Times New Roman"/>
          <w:sz w:val="24"/>
          <w:szCs w:val="24"/>
        </w:rPr>
        <w:t>r</w:t>
      </w:r>
      <w:r w:rsidR="00612115" w:rsidRPr="00564BB2">
        <w:rPr>
          <w:rFonts w:ascii="Times New Roman" w:hAnsi="Times New Roman" w:cs="Times New Roman"/>
          <w:sz w:val="24"/>
          <w:szCs w:val="24"/>
        </w:rPr>
        <w:t xml:space="preserve"> courses. Hence, a promising trea</w:t>
      </w:r>
      <w:r w:rsidR="00864C8B" w:rsidRPr="00564BB2">
        <w:rPr>
          <w:rFonts w:ascii="Times New Roman" w:hAnsi="Times New Roman" w:cs="Times New Roman"/>
          <w:sz w:val="24"/>
          <w:szCs w:val="24"/>
        </w:rPr>
        <w:t>tment</w:t>
      </w:r>
      <w:r w:rsidR="009C2462" w:rsidRPr="00564BB2">
        <w:rPr>
          <w:rFonts w:ascii="Times New Roman" w:hAnsi="Times New Roman" w:cs="Times New Roman"/>
          <w:sz w:val="24"/>
          <w:szCs w:val="24"/>
        </w:rPr>
        <w:t xml:space="preserve"> </w:t>
      </w:r>
      <w:r w:rsidR="00864C8B" w:rsidRPr="00564BB2">
        <w:rPr>
          <w:rFonts w:ascii="Times New Roman" w:hAnsi="Times New Roman" w:cs="Times New Roman"/>
          <w:sz w:val="24"/>
          <w:szCs w:val="24"/>
        </w:rPr>
        <w:t>techniques is required to overcome such challenge for a safe</w:t>
      </w:r>
      <w:r w:rsidR="00B10D82" w:rsidRPr="00564BB2">
        <w:rPr>
          <w:rFonts w:ascii="Times New Roman" w:hAnsi="Times New Roman" w:cs="Times New Roman"/>
          <w:sz w:val="24"/>
          <w:szCs w:val="24"/>
        </w:rPr>
        <w:t xml:space="preserve"> disposal. Oxidation of such dyes from aqueous industrial discharges is considered a difficult technique since dyes</w:t>
      </w:r>
      <w:r w:rsidR="00BB7C9C" w:rsidRPr="00564BB2">
        <w:rPr>
          <w:rFonts w:ascii="Times New Roman" w:hAnsi="Times New Roman" w:cs="Times New Roman"/>
          <w:sz w:val="24"/>
          <w:szCs w:val="24"/>
        </w:rPr>
        <w:t xml:space="preserve"> show resistance to various oxidants, chemical, UV light an</w:t>
      </w:r>
      <w:r w:rsidR="007C135B" w:rsidRPr="00564BB2">
        <w:rPr>
          <w:rFonts w:ascii="Times New Roman" w:hAnsi="Times New Roman" w:cs="Times New Roman"/>
          <w:sz w:val="24"/>
          <w:szCs w:val="24"/>
        </w:rPr>
        <w:t xml:space="preserve">d heat besides being non-biodegradable </w:t>
      </w:r>
      <w:r w:rsidR="009B2FEF"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(Kargi &amp; Ozmıhc, 2004)</w:t>
      </w:r>
      <w:r w:rsidR="009B2FEF"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(Gupta et al., 2011)</w:t>
      </w:r>
      <w:r w:rsidR="00674D28"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674D28" w:rsidRPr="00564BB2">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564BB2">
        <w:rPr>
          <w:rFonts w:ascii="Times New Roman" w:hAnsi="Times New Roman" w:cs="Times New Roman"/>
          <w:sz w:val="24"/>
          <w:szCs w:val="24"/>
        </w:rPr>
        <w:fldChar w:fldCharType="separate"/>
      </w:r>
      <w:r w:rsidR="00674D28" w:rsidRPr="00564BB2">
        <w:rPr>
          <w:rFonts w:ascii="Times New Roman" w:hAnsi="Times New Roman" w:cs="Times New Roman"/>
          <w:sz w:val="24"/>
          <w:szCs w:val="24"/>
        </w:rPr>
        <w:t>(Saleh &amp; Gupta, 2012)</w:t>
      </w:r>
      <w:r w:rsidR="00674D28" w:rsidRPr="00564BB2">
        <w:rPr>
          <w:rFonts w:ascii="Times New Roman" w:hAnsi="Times New Roman" w:cs="Times New Roman"/>
          <w:sz w:val="24"/>
          <w:szCs w:val="24"/>
        </w:rPr>
        <w:fldChar w:fldCharType="end"/>
      </w:r>
      <w:r w:rsidR="001A623B" w:rsidRPr="00564BB2">
        <w:rPr>
          <w:rFonts w:ascii="Times New Roman" w:hAnsi="Times New Roman" w:cs="Times New Roman"/>
          <w:sz w:val="24"/>
          <w:szCs w:val="24"/>
        </w:rPr>
        <w:t xml:space="preserve">, </w:t>
      </w:r>
      <w:r w:rsidR="00674D28" w:rsidRPr="00564BB2">
        <w:rPr>
          <w:rFonts w:ascii="Times New Roman" w:hAnsi="Times New Roman" w:cs="Times New Roman"/>
          <w:sz w:val="24"/>
          <w:szCs w:val="24"/>
        </w:rPr>
        <w:fldChar w:fldCharType="begin"/>
      </w:r>
      <w:r w:rsidR="00707D6D" w:rsidRPr="00564BB2">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564BB2">
        <w:rPr>
          <w:rFonts w:ascii="Times New Roman" w:hAnsi="Times New Roman" w:cs="Times New Roman"/>
          <w:sz w:val="24"/>
          <w:szCs w:val="24"/>
        </w:rPr>
        <w:fldChar w:fldCharType="separate"/>
      </w:r>
      <w:r w:rsidR="00707D6D" w:rsidRPr="00564BB2">
        <w:rPr>
          <w:rFonts w:ascii="Times New Roman" w:hAnsi="Times New Roman" w:cs="Times New Roman"/>
          <w:sz w:val="24"/>
          <w:szCs w:val="24"/>
        </w:rPr>
        <w:t>(Tony et al., 2011)</w:t>
      </w:r>
      <w:r w:rsidR="00674D28" w:rsidRPr="00564BB2">
        <w:rPr>
          <w:rFonts w:ascii="Times New Roman" w:hAnsi="Times New Roman" w:cs="Times New Roman"/>
          <w:sz w:val="24"/>
          <w:szCs w:val="24"/>
        </w:rPr>
        <w:fldChar w:fldCharType="end"/>
      </w:r>
      <w:r w:rsidR="009C2462" w:rsidRPr="00564BB2">
        <w:rPr>
          <w:rFonts w:ascii="Times New Roman" w:hAnsi="Times New Roman" w:cs="Times New Roman"/>
          <w:sz w:val="24"/>
          <w:szCs w:val="24"/>
        </w:rPr>
        <w:t>.</w:t>
      </w:r>
    </w:p>
    <w:p w14:paraId="634AAE64" w14:textId="02181C5E" w:rsidR="009C2462" w:rsidRPr="00564BB2" w:rsidRDefault="009C2462"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564BB2">
        <w:rPr>
          <w:rFonts w:ascii="Times New Roman" w:hAnsi="Times New Roman" w:cs="Times New Roman"/>
          <w:sz w:val="24"/>
          <w:szCs w:val="24"/>
        </w:rPr>
        <w:t xml:space="preserve"> </w:t>
      </w:r>
      <w:r w:rsidR="00EB0F38" w:rsidRPr="00564BB2">
        <w:rPr>
          <w:rFonts w:ascii="Times New Roman" w:hAnsi="Times New Roman" w:cs="Times New Roman"/>
          <w:sz w:val="24"/>
          <w:szCs w:val="24"/>
        </w:rPr>
        <w:fldChar w:fldCharType="begin"/>
      </w:r>
      <w:r w:rsidR="00EB0F38" w:rsidRPr="00564BB2">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564BB2">
        <w:rPr>
          <w:rFonts w:ascii="Times New Roman" w:hAnsi="Times New Roman" w:cs="Times New Roman"/>
          <w:sz w:val="24"/>
          <w:szCs w:val="24"/>
        </w:rPr>
        <w:fldChar w:fldCharType="separate"/>
      </w:r>
      <w:r w:rsidR="00EB0F38" w:rsidRPr="00564BB2">
        <w:rPr>
          <w:rFonts w:ascii="Times New Roman" w:hAnsi="Times New Roman" w:cs="Times New Roman"/>
          <w:sz w:val="24"/>
          <w:szCs w:val="24"/>
        </w:rPr>
        <w:t>(Ashour et al., 2014; Tony et al., 2018)</w:t>
      </w:r>
      <w:r w:rsidR="00EB0F38"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waters, which include photodecomposition </w:t>
      </w:r>
      <w:r w:rsidR="00AC7D7D" w:rsidRPr="00564BB2">
        <w:rPr>
          <w:rFonts w:ascii="Times New Roman" w:hAnsi="Times New Roman" w:cs="Times New Roman"/>
          <w:sz w:val="24"/>
          <w:szCs w:val="24"/>
        </w:rPr>
        <w:fldChar w:fldCharType="begin"/>
      </w:r>
      <w:r w:rsidR="000D69E7" w:rsidRPr="00564BB2">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564BB2">
        <w:rPr>
          <w:rFonts w:ascii="Times New Roman" w:hAnsi="Times New Roman" w:cs="Times New Roman"/>
          <w:sz w:val="24"/>
          <w:szCs w:val="24"/>
        </w:rPr>
        <w:fldChar w:fldCharType="separate"/>
      </w:r>
      <w:r w:rsidR="000D69E7" w:rsidRPr="00564BB2">
        <w:rPr>
          <w:rFonts w:ascii="Times New Roman" w:hAnsi="Times New Roman" w:cs="Times New Roman"/>
          <w:sz w:val="24"/>
          <w:szCs w:val="24"/>
        </w:rPr>
        <w:t>(Kapdan &amp; Kargi, 2002; Mulugeta &amp; Belisti, 2014)</w:t>
      </w:r>
      <w:r w:rsidR="00AC7D7D"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electrolysis </w:t>
      </w:r>
      <w:r w:rsidR="000D69E7" w:rsidRPr="00564BB2">
        <w:rPr>
          <w:rFonts w:ascii="Times New Roman" w:hAnsi="Times New Roman" w:cs="Times New Roman"/>
          <w:sz w:val="24"/>
          <w:szCs w:val="24"/>
        </w:rPr>
        <w:fldChar w:fldCharType="begin"/>
      </w:r>
      <w:r w:rsidR="00461A63" w:rsidRPr="00564BB2">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564BB2">
        <w:rPr>
          <w:rFonts w:ascii="Times New Roman" w:hAnsi="Times New Roman" w:cs="Times New Roman"/>
          <w:sz w:val="24"/>
          <w:szCs w:val="24"/>
        </w:rPr>
        <w:fldChar w:fldCharType="separate"/>
      </w:r>
      <w:r w:rsidR="00461A63" w:rsidRPr="00564BB2">
        <w:rPr>
          <w:rFonts w:ascii="Times New Roman" w:hAnsi="Times New Roman" w:cs="Times New Roman"/>
          <w:sz w:val="24"/>
          <w:szCs w:val="24"/>
        </w:rPr>
        <w:t>(Qingdong et al., 2017)</w:t>
      </w:r>
      <w:r w:rsidR="000D69E7"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adsorption </w:t>
      </w:r>
      <w:r w:rsidR="00461A63" w:rsidRPr="00564BB2">
        <w:rPr>
          <w:rFonts w:ascii="Times New Roman" w:hAnsi="Times New Roman" w:cs="Times New Roman"/>
          <w:sz w:val="24"/>
          <w:szCs w:val="24"/>
        </w:rPr>
        <w:fldChar w:fldCharType="begin"/>
      </w:r>
      <w:r w:rsidR="00431BD0" w:rsidRPr="00564BB2">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564BB2">
        <w:rPr>
          <w:rFonts w:ascii="Times New Roman" w:hAnsi="Times New Roman" w:cs="Times New Roman"/>
          <w:sz w:val="24"/>
          <w:szCs w:val="24"/>
        </w:rPr>
        <w:fldChar w:fldCharType="separate"/>
      </w:r>
      <w:r w:rsidR="00431BD0" w:rsidRPr="00564BB2">
        <w:rPr>
          <w:rFonts w:ascii="Times New Roman" w:hAnsi="Times New Roman" w:cs="Times New Roman"/>
          <w:sz w:val="24"/>
          <w:szCs w:val="24"/>
        </w:rPr>
        <w:t>(Ahmadi, Rahdar, et al., 2019; Ahmadi &amp; Kord Mostafapoor, 2017)</w:t>
      </w:r>
      <w:r w:rsidR="00461A63"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oxidation</w:t>
      </w:r>
      <w:r w:rsidR="00345986" w:rsidRPr="00564BB2">
        <w:rPr>
          <w:rFonts w:ascii="Times New Roman" w:hAnsi="Times New Roman" w:cs="Times New Roman"/>
          <w:sz w:val="24"/>
          <w:szCs w:val="24"/>
        </w:rPr>
        <w:t xml:space="preserve"> </w:t>
      </w:r>
      <w:r w:rsidR="00431BD0" w:rsidRPr="00564BB2">
        <w:rPr>
          <w:rFonts w:ascii="Times New Roman" w:hAnsi="Times New Roman" w:cs="Times New Roman"/>
          <w:sz w:val="24"/>
          <w:szCs w:val="24"/>
        </w:rPr>
        <w:fldChar w:fldCharType="begin"/>
      </w:r>
      <w:r w:rsidR="00431BD0" w:rsidRPr="00564BB2">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564BB2">
        <w:rPr>
          <w:rFonts w:ascii="Times New Roman" w:hAnsi="Times New Roman" w:cs="Times New Roman"/>
          <w:sz w:val="24"/>
          <w:szCs w:val="24"/>
        </w:rPr>
        <w:fldChar w:fldCharType="separate"/>
      </w:r>
      <w:r w:rsidR="00431BD0" w:rsidRPr="00564BB2">
        <w:rPr>
          <w:rFonts w:ascii="Times New Roman" w:hAnsi="Times New Roman" w:cs="Times New Roman"/>
          <w:sz w:val="24"/>
          <w:szCs w:val="24"/>
        </w:rPr>
        <w:t>(Ahmadi et al., 2018; Ahmadi, Igwegbe, et al., 2019)</w:t>
      </w:r>
      <w:r w:rsidR="00431BD0" w:rsidRPr="00564BB2">
        <w:rPr>
          <w:rFonts w:ascii="Times New Roman" w:hAnsi="Times New Roman" w:cs="Times New Roman"/>
          <w:sz w:val="24"/>
          <w:szCs w:val="24"/>
        </w:rPr>
        <w:fldChar w:fldCharType="end"/>
      </w:r>
      <w:r w:rsidR="00540E23" w:rsidRPr="00564BB2">
        <w:rPr>
          <w:rFonts w:ascii="Times New Roman" w:hAnsi="Times New Roman" w:cs="Times New Roman"/>
          <w:sz w:val="24"/>
          <w:szCs w:val="24"/>
        </w:rPr>
        <w:t xml:space="preserve"> and other processes</w:t>
      </w:r>
      <w:r w:rsidR="003921BD" w:rsidRPr="00564BB2">
        <w:rPr>
          <w:rFonts w:ascii="Times New Roman" w:hAnsi="Times New Roman" w:cs="Times New Roman"/>
          <w:sz w:val="24"/>
          <w:szCs w:val="24"/>
        </w:rPr>
        <w:t xml:space="preserve">. </w:t>
      </w:r>
      <w:r w:rsidR="00CB2837" w:rsidRPr="00564BB2">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564BB2">
        <w:rPr>
          <w:rFonts w:ascii="Times New Roman" w:hAnsi="Times New Roman" w:cs="Times New Roman"/>
          <w:sz w:val="24"/>
          <w:szCs w:val="24"/>
        </w:rPr>
        <w:fldChar w:fldCharType="begin"/>
      </w:r>
      <w:r w:rsidR="00E55C51" w:rsidRPr="00564BB2">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564BB2">
        <w:rPr>
          <w:rFonts w:ascii="Times New Roman" w:hAnsi="Times New Roman" w:cs="Times New Roman"/>
          <w:sz w:val="24"/>
          <w:szCs w:val="24"/>
        </w:rPr>
        <w:fldChar w:fldCharType="separate"/>
      </w:r>
      <w:r w:rsidR="00E55C51" w:rsidRPr="00564BB2">
        <w:rPr>
          <w:rFonts w:ascii="Times New Roman" w:hAnsi="Times New Roman" w:cs="Times New Roman"/>
          <w:sz w:val="24"/>
          <w:szCs w:val="24"/>
        </w:rPr>
        <w:t xml:space="preserve">(Rahman et al., 2009; Tony &amp; </w:t>
      </w:r>
      <w:r w:rsidR="00E55C51" w:rsidRPr="00564BB2">
        <w:rPr>
          <w:rFonts w:ascii="Times New Roman" w:hAnsi="Times New Roman" w:cs="Times New Roman"/>
          <w:sz w:val="24"/>
          <w:szCs w:val="24"/>
        </w:rPr>
        <w:lastRenderedPageBreak/>
        <w:t>Mansour, 2019)</w:t>
      </w:r>
      <w:r w:rsidR="00E55C51"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Amongst the different physical and chemical processes, adsorption</w:t>
      </w:r>
      <w:r w:rsidR="009A49DD" w:rsidRPr="00564BB2">
        <w:rPr>
          <w:rFonts w:ascii="Times New Roman" w:hAnsi="Times New Roman" w:cs="Times New Roman"/>
          <w:sz w:val="24"/>
          <w:szCs w:val="24"/>
        </w:rPr>
        <w:t xml:space="preserve"> </w:t>
      </w:r>
      <w:r w:rsidR="00ED01E4" w:rsidRPr="00564BB2">
        <w:rPr>
          <w:rFonts w:ascii="Times New Roman" w:hAnsi="Times New Roman" w:cs="Times New Roman"/>
          <w:sz w:val="24"/>
          <w:szCs w:val="24"/>
        </w:rPr>
        <w:t>is an effective technique, which is successfully used for the removal of colors from wastewaters</w:t>
      </w:r>
      <w:r w:rsidR="009A49DD" w:rsidRPr="00564BB2">
        <w:rPr>
          <w:rFonts w:ascii="Times New Roman" w:hAnsi="Times New Roman" w:cs="Times New Roman"/>
          <w:sz w:val="24"/>
          <w:szCs w:val="24"/>
        </w:rPr>
        <w:t xml:space="preserve"> </w:t>
      </w:r>
      <w:r w:rsidR="00A034E8" w:rsidRPr="00564BB2">
        <w:rPr>
          <w:rFonts w:ascii="Times New Roman" w:hAnsi="Times New Roman" w:cs="Times New Roman"/>
          <w:sz w:val="24"/>
          <w:szCs w:val="24"/>
        </w:rPr>
        <w:fldChar w:fldCharType="begin"/>
      </w:r>
      <w:r w:rsidR="00BF3710">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564BB2">
        <w:rPr>
          <w:rFonts w:ascii="Times New Roman" w:hAnsi="Times New Roman" w:cs="Times New Roman"/>
          <w:sz w:val="24"/>
          <w:szCs w:val="24"/>
        </w:rPr>
        <w:fldChar w:fldCharType="separate"/>
      </w:r>
      <w:r w:rsidR="00BF3710" w:rsidRPr="00BF3710">
        <w:rPr>
          <w:rFonts w:ascii="Times New Roman" w:hAnsi="Times New Roman" w:cs="Times New Roman"/>
          <w:sz w:val="24"/>
        </w:rPr>
        <w:t>(Elnasri et al., 2013; Rahdar, Samani, et al., 2018)</w:t>
      </w:r>
      <w:r w:rsidR="00A034E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564BB2">
        <w:rPr>
          <w:rFonts w:ascii="Times New Roman" w:hAnsi="Times New Roman" w:cs="Times New Roman"/>
          <w:sz w:val="24"/>
          <w:szCs w:val="24"/>
        </w:rPr>
        <w:fldChar w:fldCharType="begin"/>
      </w:r>
      <w:r w:rsidR="00581088" w:rsidRPr="00564BB2">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564BB2">
        <w:rPr>
          <w:rFonts w:ascii="Times New Roman" w:hAnsi="Times New Roman" w:cs="Times New Roman"/>
          <w:sz w:val="24"/>
          <w:szCs w:val="24"/>
        </w:rPr>
        <w:fldChar w:fldCharType="separate"/>
      </w:r>
      <w:r w:rsidR="00581088" w:rsidRPr="00564BB2">
        <w:rPr>
          <w:rFonts w:ascii="Times New Roman" w:hAnsi="Times New Roman" w:cs="Times New Roman"/>
          <w:sz w:val="24"/>
          <w:szCs w:val="24"/>
        </w:rPr>
        <w:t>(Samadi et al., 2013)</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Adsorption can be either</w:t>
      </w:r>
      <w:r w:rsidR="009A49DD" w:rsidRPr="00564BB2">
        <w:rPr>
          <w:rFonts w:ascii="Times New Roman" w:hAnsi="Times New Roman" w:cs="Times New Roman"/>
          <w:sz w:val="24"/>
          <w:szCs w:val="24"/>
        </w:rPr>
        <w:t xml:space="preserve"> </w:t>
      </w:r>
      <w:r w:rsidR="00ED01E4" w:rsidRPr="00564BB2">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564BB2">
        <w:rPr>
          <w:rFonts w:ascii="Times New Roman" w:hAnsi="Times New Roman" w:cs="Times New Roman"/>
          <w:sz w:val="24"/>
          <w:szCs w:val="24"/>
        </w:rPr>
        <w:fldChar w:fldCharType="begin"/>
      </w:r>
      <w:r w:rsidR="00581088" w:rsidRPr="00564BB2">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564BB2">
        <w:rPr>
          <w:rFonts w:ascii="Times New Roman" w:hAnsi="Times New Roman" w:cs="Times New Roman"/>
          <w:sz w:val="24"/>
          <w:szCs w:val="24"/>
        </w:rPr>
        <w:fldChar w:fldCharType="separate"/>
      </w:r>
      <w:r w:rsidR="00581088" w:rsidRPr="00564BB2">
        <w:rPr>
          <w:rFonts w:ascii="Times New Roman" w:hAnsi="Times New Roman" w:cs="Times New Roman"/>
          <w:sz w:val="24"/>
          <w:szCs w:val="24"/>
        </w:rPr>
        <w:t>(Karine, 2001)</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Activated carbons have been used successfully to remove organic and mineral pollutants </w:t>
      </w:r>
      <w:r w:rsidR="00581088" w:rsidRPr="00564BB2">
        <w:rPr>
          <w:rFonts w:ascii="Times New Roman" w:hAnsi="Times New Roman" w:cs="Times New Roman"/>
          <w:sz w:val="24"/>
          <w:szCs w:val="24"/>
        </w:rPr>
        <w:fldChar w:fldCharType="begin"/>
      </w:r>
      <w:r w:rsidR="00772A99" w:rsidRPr="00564BB2">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564BB2">
        <w:rPr>
          <w:rFonts w:ascii="Times New Roman" w:hAnsi="Times New Roman" w:cs="Times New Roman"/>
          <w:sz w:val="24"/>
          <w:szCs w:val="24"/>
        </w:rPr>
        <w:fldChar w:fldCharType="separate"/>
      </w:r>
      <w:r w:rsidR="00772A99" w:rsidRPr="00564BB2">
        <w:rPr>
          <w:rFonts w:ascii="Times New Roman" w:hAnsi="Times New Roman" w:cs="Times New Roman"/>
          <w:sz w:val="24"/>
          <w:szCs w:val="24"/>
        </w:rPr>
        <w:t>(Han et al., 2006; Igwegbe et al., 2015)</w:t>
      </w:r>
      <w:r w:rsidR="00581088"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but they are hardly regenerated </w:t>
      </w:r>
      <w:r w:rsidR="00772A99" w:rsidRPr="00564BB2">
        <w:rPr>
          <w:rFonts w:ascii="Times New Roman" w:hAnsi="Times New Roman" w:cs="Times New Roman"/>
          <w:sz w:val="24"/>
          <w:szCs w:val="24"/>
        </w:rPr>
        <w:fldChar w:fldCharType="begin"/>
      </w:r>
      <w:r w:rsidR="0098722C" w:rsidRPr="00564BB2">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564BB2">
        <w:rPr>
          <w:rFonts w:ascii="Times New Roman" w:hAnsi="Times New Roman" w:cs="Times New Roman"/>
          <w:sz w:val="24"/>
          <w:szCs w:val="24"/>
        </w:rPr>
        <w:fldChar w:fldCharType="separate"/>
      </w:r>
      <w:r w:rsidR="0098722C" w:rsidRPr="00564BB2">
        <w:rPr>
          <w:rFonts w:ascii="Times New Roman" w:hAnsi="Times New Roman" w:cs="Times New Roman"/>
          <w:sz w:val="24"/>
          <w:szCs w:val="24"/>
        </w:rPr>
        <w:t>(Ahmadi &amp; Kord Mostafapour, 2017)</w:t>
      </w:r>
      <w:r w:rsidR="00772A99"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Nanoparticles are referred to as particles with a diameter of less than 100 nm </w:t>
      </w:r>
      <w:r w:rsidR="0098722C" w:rsidRPr="00564BB2">
        <w:rPr>
          <w:rFonts w:ascii="Times New Roman" w:hAnsi="Times New Roman" w:cs="Times New Roman"/>
          <w:sz w:val="24"/>
          <w:szCs w:val="24"/>
        </w:rPr>
        <w:fldChar w:fldCharType="begin"/>
      </w:r>
      <w:r w:rsidR="009017E4" w:rsidRPr="00564BB2">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564BB2">
        <w:rPr>
          <w:rFonts w:ascii="Times New Roman" w:hAnsi="Times New Roman" w:cs="Times New Roman"/>
          <w:sz w:val="24"/>
          <w:szCs w:val="24"/>
        </w:rPr>
        <w:fldChar w:fldCharType="separate"/>
      </w:r>
      <w:r w:rsidR="009017E4" w:rsidRPr="00564BB2">
        <w:rPr>
          <w:rFonts w:ascii="Times New Roman" w:hAnsi="Times New Roman" w:cs="Times New Roman"/>
          <w:sz w:val="24"/>
          <w:szCs w:val="24"/>
        </w:rPr>
        <w:t>(Igwegbe et al., 2018)</w:t>
      </w:r>
      <w:r w:rsidR="0098722C"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564BB2">
        <w:rPr>
          <w:rFonts w:ascii="Times New Roman" w:hAnsi="Times New Roman" w:cs="Times New Roman"/>
          <w:sz w:val="24"/>
          <w:szCs w:val="24"/>
        </w:rPr>
        <w:fldChar w:fldCharType="begin"/>
      </w:r>
      <w:r w:rsidR="008A399C" w:rsidRPr="00564BB2">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564BB2">
        <w:rPr>
          <w:rFonts w:ascii="Times New Roman" w:hAnsi="Times New Roman" w:cs="Times New Roman"/>
          <w:sz w:val="24"/>
          <w:szCs w:val="24"/>
        </w:rPr>
        <w:fldChar w:fldCharType="separate"/>
      </w:r>
      <w:r w:rsidR="008A399C" w:rsidRPr="00564BB2">
        <w:rPr>
          <w:rFonts w:ascii="Times New Roman" w:hAnsi="Times New Roman" w:cs="Times New Roman"/>
          <w:sz w:val="24"/>
          <w:szCs w:val="24"/>
        </w:rPr>
        <w:t>(Rahdar, Igwegbe, et al., 2018)</w:t>
      </w:r>
      <w:r w:rsidR="008A399C" w:rsidRPr="00564BB2">
        <w:rPr>
          <w:rFonts w:ascii="Times New Roman" w:hAnsi="Times New Roman" w:cs="Times New Roman"/>
          <w:sz w:val="24"/>
          <w:szCs w:val="24"/>
        </w:rPr>
        <w:fldChar w:fldCharType="end"/>
      </w:r>
      <w:r w:rsidR="00ED01E4" w:rsidRPr="00564BB2">
        <w:rPr>
          <w:rFonts w:ascii="Times New Roman" w:hAnsi="Times New Roman" w:cs="Times New Roman"/>
          <w:sz w:val="24"/>
          <w:szCs w:val="24"/>
        </w:rPr>
        <w:t xml:space="preserve">. </w:t>
      </w:r>
    </w:p>
    <w:p w14:paraId="05CACA20" w14:textId="1285DA38" w:rsidR="00731D4B" w:rsidRPr="00564BB2" w:rsidRDefault="00CD3A81"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w:t>
      </w:r>
      <w:r w:rsidR="00731D4B" w:rsidRPr="00564BB2">
        <w:rPr>
          <w:rFonts w:ascii="Times New Roman" w:hAnsi="Times New Roman" w:cs="Times New Roman"/>
          <w:sz w:val="24"/>
          <w:szCs w:val="24"/>
        </w:rPr>
        <w:t>ethylene blue (MB) is an aromatic heterocyclic basic dye with the chemical formula</w:t>
      </w:r>
      <w:r w:rsidR="00731D4B" w:rsidRPr="00564BB2">
        <w:rPr>
          <w:rFonts w:ascii="Times New Roman" w:hAnsi="Times New Roman" w:cs="Times New Roman"/>
          <w:sz w:val="24"/>
          <w:szCs w:val="24"/>
        </w:rPr>
        <w:t xml:space="preserve"> </w:t>
      </w:r>
      <w:r w:rsidR="00731D4B" w:rsidRPr="00564BB2">
        <w:rPr>
          <w:rFonts w:ascii="Times New Roman" w:hAnsi="Times New Roman" w:cs="Times New Roman"/>
          <w:sz w:val="24"/>
          <w:szCs w:val="24"/>
        </w:rPr>
        <w:t>C</w:t>
      </w:r>
      <w:r w:rsidR="00731D4B" w:rsidRPr="000A7F14">
        <w:rPr>
          <w:rFonts w:ascii="Times New Roman" w:hAnsi="Times New Roman" w:cs="Times New Roman"/>
          <w:sz w:val="24"/>
          <w:szCs w:val="24"/>
          <w:vertAlign w:val="subscript"/>
        </w:rPr>
        <w:t>16</w:t>
      </w:r>
      <w:r w:rsidR="00731D4B" w:rsidRPr="00564BB2">
        <w:rPr>
          <w:rFonts w:ascii="Times New Roman" w:hAnsi="Times New Roman" w:cs="Times New Roman"/>
          <w:sz w:val="24"/>
          <w:szCs w:val="24"/>
        </w:rPr>
        <w:t>H</w:t>
      </w:r>
      <w:r w:rsidR="00731D4B" w:rsidRPr="000A7F14">
        <w:rPr>
          <w:rFonts w:ascii="Times New Roman" w:hAnsi="Times New Roman" w:cs="Times New Roman"/>
          <w:sz w:val="24"/>
          <w:szCs w:val="24"/>
          <w:vertAlign w:val="subscript"/>
        </w:rPr>
        <w:t>18</w:t>
      </w:r>
      <w:r w:rsidR="00731D4B" w:rsidRPr="00564BB2">
        <w:rPr>
          <w:rFonts w:ascii="Times New Roman" w:hAnsi="Times New Roman" w:cs="Times New Roman"/>
          <w:sz w:val="24"/>
          <w:szCs w:val="24"/>
        </w:rPr>
        <w:t>N</w:t>
      </w:r>
      <w:r w:rsidR="00731D4B" w:rsidRPr="000A7F14">
        <w:rPr>
          <w:rFonts w:ascii="Times New Roman" w:hAnsi="Times New Roman" w:cs="Times New Roman"/>
          <w:sz w:val="24"/>
          <w:szCs w:val="24"/>
          <w:vertAlign w:val="subscript"/>
        </w:rPr>
        <w:t>3</w:t>
      </w:r>
      <w:r w:rsidR="00731D4B" w:rsidRPr="00564BB2">
        <w:rPr>
          <w:rFonts w:ascii="Times New Roman" w:hAnsi="Times New Roman" w:cs="Times New Roman"/>
          <w:sz w:val="24"/>
          <w:szCs w:val="24"/>
        </w:rPr>
        <w:t>SCl. It is also referred to as cationic or primary thiazine dye</w:t>
      </w:r>
      <w:r w:rsidR="00731D4B" w:rsidRPr="00564BB2">
        <w:rPr>
          <w:rFonts w:ascii="Times New Roman" w:hAnsi="Times New Roman" w:cs="Times New Roman"/>
          <w:sz w:val="24"/>
          <w:szCs w:val="24"/>
        </w:rPr>
        <w:t>.</w:t>
      </w:r>
    </w:p>
    <w:p w14:paraId="7FDD5500" w14:textId="77777777" w:rsidR="00731D4B" w:rsidRPr="00564BB2" w:rsidRDefault="00731D4B" w:rsidP="00184A6B">
      <w:pPr>
        <w:keepNext/>
        <w:spacing w:line="480" w:lineRule="auto"/>
        <w:ind w:left="720"/>
        <w:jc w:val="center"/>
        <w:rPr>
          <w:rFonts w:ascii="Times New Roman" w:hAnsi="Times New Roman" w:cs="Times New Roman"/>
          <w:sz w:val="24"/>
          <w:szCs w:val="24"/>
        </w:rPr>
      </w:pPr>
      <w:r w:rsidRPr="00564BB2">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9pt;height:78.55pt" o:ole="">
            <v:imagedata r:id="rId6" o:title=""/>
          </v:shape>
          <o:OLEObject Type="Embed" ProgID="ACD.ChemSketch.20" ShapeID="_x0000_i1029" DrawAspect="Content" ObjectID="_1773841472" r:id="rId7"/>
        </w:object>
      </w:r>
    </w:p>
    <w:p w14:paraId="32521C84" w14:textId="44575653" w:rsidR="00731D4B" w:rsidRPr="00564BB2" w:rsidRDefault="00731D4B" w:rsidP="00184A6B">
      <w:pPr>
        <w:pStyle w:val="Caption"/>
        <w:spacing w:line="480" w:lineRule="auto"/>
        <w:ind w:firstLine="720"/>
        <w:jc w:val="center"/>
        <w:rPr>
          <w:rFonts w:ascii="Times New Roman" w:hAnsi="Times New Roman" w:cs="Times New Roman"/>
          <w:i w:val="0"/>
          <w:iCs w:val="0"/>
          <w:color w:val="auto"/>
          <w:sz w:val="24"/>
          <w:szCs w:val="24"/>
        </w:rPr>
      </w:pPr>
      <w:r w:rsidRPr="00564BB2">
        <w:rPr>
          <w:rFonts w:ascii="Times New Roman" w:hAnsi="Times New Roman" w:cs="Times New Roman"/>
          <w:i w:val="0"/>
          <w:iCs w:val="0"/>
          <w:color w:val="auto"/>
          <w:sz w:val="24"/>
          <w:szCs w:val="24"/>
        </w:rPr>
        <w:t xml:space="preserve">Figure </w:t>
      </w:r>
      <w:r w:rsidRPr="00564BB2">
        <w:rPr>
          <w:rFonts w:ascii="Times New Roman" w:hAnsi="Times New Roman" w:cs="Times New Roman"/>
          <w:i w:val="0"/>
          <w:iCs w:val="0"/>
          <w:color w:val="auto"/>
          <w:sz w:val="24"/>
          <w:szCs w:val="24"/>
        </w:rPr>
        <w:fldChar w:fldCharType="begin"/>
      </w:r>
      <w:r w:rsidRPr="00564BB2">
        <w:rPr>
          <w:rFonts w:ascii="Times New Roman" w:hAnsi="Times New Roman" w:cs="Times New Roman"/>
          <w:i w:val="0"/>
          <w:iCs w:val="0"/>
          <w:color w:val="auto"/>
          <w:sz w:val="24"/>
          <w:szCs w:val="24"/>
        </w:rPr>
        <w:instrText xml:space="preserve"> SEQ Figure \* ARABIC </w:instrText>
      </w:r>
      <w:r w:rsidRPr="00564BB2">
        <w:rPr>
          <w:rFonts w:ascii="Times New Roman" w:hAnsi="Times New Roman" w:cs="Times New Roman"/>
          <w:i w:val="0"/>
          <w:iCs w:val="0"/>
          <w:color w:val="auto"/>
          <w:sz w:val="24"/>
          <w:szCs w:val="24"/>
        </w:rPr>
        <w:fldChar w:fldCharType="separate"/>
      </w:r>
      <w:r w:rsidR="009A1C8A">
        <w:rPr>
          <w:rFonts w:ascii="Times New Roman" w:hAnsi="Times New Roman" w:cs="Times New Roman"/>
          <w:i w:val="0"/>
          <w:iCs w:val="0"/>
          <w:noProof/>
          <w:color w:val="auto"/>
          <w:sz w:val="24"/>
          <w:szCs w:val="24"/>
        </w:rPr>
        <w:t>1</w:t>
      </w:r>
      <w:r w:rsidRPr="00564BB2">
        <w:rPr>
          <w:rFonts w:ascii="Times New Roman" w:hAnsi="Times New Roman" w:cs="Times New Roman"/>
          <w:i w:val="0"/>
          <w:iCs w:val="0"/>
          <w:color w:val="auto"/>
          <w:sz w:val="24"/>
          <w:szCs w:val="24"/>
        </w:rPr>
        <w:fldChar w:fldCharType="end"/>
      </w:r>
      <w:r w:rsidRPr="00564BB2">
        <w:rPr>
          <w:rFonts w:ascii="Times New Roman" w:hAnsi="Times New Roman" w:cs="Times New Roman"/>
          <w:i w:val="0"/>
          <w:iCs w:val="0"/>
          <w:color w:val="auto"/>
          <w:sz w:val="24"/>
          <w:szCs w:val="24"/>
        </w:rPr>
        <w:t>. Chemical structure of methylene blue</w:t>
      </w:r>
    </w:p>
    <w:p w14:paraId="7C4C8315" w14:textId="05EED9CD" w:rsidR="004C2A1A" w:rsidRPr="00564BB2" w:rsidRDefault="004C2A1A"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lastRenderedPageBreak/>
        <w:t>T</w:t>
      </w:r>
      <w:r w:rsidRPr="00564BB2">
        <w:rPr>
          <w:rFonts w:ascii="Times New Roman" w:hAnsi="Times New Roman" w:cs="Times New Roman"/>
          <w:sz w:val="24"/>
          <w:szCs w:val="24"/>
        </w:rPr>
        <w:t>he presence of negative polar sites on water molecules causes an attraction for the cationic dye, resulting in the separation of positive ions and the creation of a stable solution with water at room temperature</w:t>
      </w:r>
      <w:r w:rsidR="004D3227" w:rsidRPr="00564BB2">
        <w:rPr>
          <w:rFonts w:ascii="Times New Roman" w:hAnsi="Times New Roman" w:cs="Times New Roman"/>
          <w:sz w:val="24"/>
          <w:szCs w:val="24"/>
        </w:rPr>
        <w:t xml:space="preserve"> </w:t>
      </w:r>
      <w:r w:rsidR="004D3227" w:rsidRPr="00564BB2">
        <w:rPr>
          <w:rFonts w:ascii="Times New Roman" w:hAnsi="Times New Roman" w:cs="Times New Roman"/>
          <w:sz w:val="24"/>
          <w:szCs w:val="24"/>
        </w:rPr>
        <w:fldChar w:fldCharType="begin"/>
      </w:r>
      <w:r w:rsidR="004D3227" w:rsidRPr="00564BB2">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564BB2">
        <w:rPr>
          <w:rFonts w:ascii="Times New Roman" w:hAnsi="Times New Roman" w:cs="Times New Roman"/>
          <w:sz w:val="24"/>
          <w:szCs w:val="24"/>
        </w:rPr>
        <w:fldChar w:fldCharType="separate"/>
      </w:r>
      <w:r w:rsidR="004D3227" w:rsidRPr="00564BB2">
        <w:rPr>
          <w:rFonts w:ascii="Times New Roman" w:hAnsi="Times New Roman" w:cs="Times New Roman"/>
          <w:sz w:val="24"/>
          <w:szCs w:val="24"/>
        </w:rPr>
        <w:t>(Yusop et al., 2021)</w:t>
      </w:r>
      <w:r w:rsidR="004D3227" w:rsidRPr="00564BB2">
        <w:rPr>
          <w:rFonts w:ascii="Times New Roman" w:hAnsi="Times New Roman" w:cs="Times New Roman"/>
          <w:sz w:val="24"/>
          <w:szCs w:val="24"/>
        </w:rPr>
        <w:fldChar w:fldCharType="end"/>
      </w:r>
      <w:r w:rsidR="004D3227" w:rsidRPr="00564BB2">
        <w:rPr>
          <w:rFonts w:ascii="Times New Roman" w:hAnsi="Times New Roman" w:cs="Times New Roman"/>
          <w:sz w:val="24"/>
          <w:szCs w:val="24"/>
        </w:rPr>
        <w:t>.</w:t>
      </w:r>
    </w:p>
    <w:p w14:paraId="5425DE76" w14:textId="70326E02" w:rsidR="004D3227" w:rsidRPr="00564BB2" w:rsidRDefault="004D3227"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564BB2">
        <w:rPr>
          <w:rFonts w:ascii="Times New Roman" w:hAnsi="Times New Roman" w:cs="Times New Roman"/>
          <w:sz w:val="24"/>
          <w:szCs w:val="24"/>
        </w:rPr>
        <w:t xml:space="preserve"> </w:t>
      </w:r>
      <w:r w:rsidR="00040DBE" w:rsidRPr="00564BB2">
        <w:rPr>
          <w:rFonts w:ascii="Times New Roman" w:hAnsi="Times New Roman" w:cs="Times New Roman"/>
          <w:sz w:val="24"/>
          <w:szCs w:val="24"/>
        </w:rPr>
        <w:fldChar w:fldCharType="begin"/>
      </w:r>
      <w:r w:rsidR="00040DBE" w:rsidRPr="00564BB2">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564BB2">
        <w:rPr>
          <w:rFonts w:ascii="Times New Roman" w:hAnsi="Times New Roman" w:cs="Times New Roman"/>
          <w:sz w:val="24"/>
          <w:szCs w:val="24"/>
        </w:rPr>
        <w:fldChar w:fldCharType="separate"/>
      </w:r>
      <w:r w:rsidR="00040DBE" w:rsidRPr="00564BB2">
        <w:rPr>
          <w:rFonts w:ascii="Times New Roman" w:hAnsi="Times New Roman" w:cs="Times New Roman"/>
          <w:sz w:val="24"/>
          <w:szCs w:val="24"/>
        </w:rPr>
        <w:t>(Khan et al., 2022)</w:t>
      </w:r>
      <w:r w:rsidR="00040DBE" w:rsidRPr="00564BB2">
        <w:rPr>
          <w:rFonts w:ascii="Times New Roman" w:hAnsi="Times New Roman" w:cs="Times New Roman"/>
          <w:sz w:val="24"/>
          <w:szCs w:val="24"/>
        </w:rPr>
        <w:fldChar w:fldCharType="end"/>
      </w:r>
      <w:r w:rsidR="00040DBE" w:rsidRPr="00564BB2">
        <w:rPr>
          <w:rFonts w:ascii="Times New Roman" w:hAnsi="Times New Roman" w:cs="Times New Roman"/>
          <w:sz w:val="24"/>
          <w:szCs w:val="24"/>
        </w:rPr>
        <w:t>.</w:t>
      </w:r>
      <w:r w:rsidR="00944761" w:rsidRPr="00564BB2">
        <w:rPr>
          <w:rFonts w:ascii="Times New Roman" w:hAnsi="Times New Roman" w:cs="Times New Roman"/>
          <w:sz w:val="24"/>
          <w:szCs w:val="24"/>
        </w:rPr>
        <w:t xml:space="preserve"> </w:t>
      </w:r>
      <w:r w:rsidR="00944761" w:rsidRPr="00564BB2">
        <w:rPr>
          <w:rFonts w:ascii="Times New Roman" w:hAnsi="Times New Roman" w:cs="Times New Roman"/>
          <w:sz w:val="24"/>
          <w:szCs w:val="24"/>
        </w:rPr>
        <w:t>In the textile industry, MB adheres well to the interstitial gaps of cotton fibers and remains stable on fabric. Hence, MB is one of the most used apparel colors.</w:t>
      </w:r>
    </w:p>
    <w:p w14:paraId="3765BEE2" w14:textId="2BCEB878" w:rsidR="004E708A" w:rsidRPr="00564BB2" w:rsidRDefault="004E708A"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Methylene blue dye-containing effluent fro</w:t>
      </w:r>
      <w:r w:rsidR="008764E4" w:rsidRPr="00564BB2">
        <w:rPr>
          <w:rFonts w:ascii="Times New Roman" w:hAnsi="Times New Roman" w:cs="Times New Roman"/>
          <w:sz w:val="24"/>
          <w:szCs w:val="24"/>
        </w:rPr>
        <w:t>m</w:t>
      </w:r>
      <w:r w:rsidRPr="00564BB2">
        <w:rPr>
          <w:rFonts w:ascii="Times New Roman" w:hAnsi="Times New Roman" w:cs="Times New Roman"/>
          <w:sz w:val="24"/>
          <w:szCs w:val="24"/>
        </w:rPr>
        <w:t xml:space="preserve"> various industries such as textile, rubber, plastic</w:t>
      </w:r>
      <w:r w:rsidR="002347E6" w:rsidRPr="00564BB2">
        <w:rPr>
          <w:rFonts w:ascii="Times New Roman" w:hAnsi="Times New Roman" w:cs="Times New Roman"/>
          <w:sz w:val="24"/>
          <w:szCs w:val="24"/>
        </w:rPr>
        <w:t xml:space="preserve">, paper-making are established to be carinogenic and also create toxic effects on living </w:t>
      </w:r>
      <w:r w:rsidR="00BF365B" w:rsidRPr="00564BB2">
        <w:rPr>
          <w:rFonts w:ascii="Times New Roman" w:hAnsi="Times New Roman" w:cs="Times New Roman"/>
          <w:sz w:val="24"/>
          <w:szCs w:val="24"/>
        </w:rPr>
        <w:t xml:space="preserve">organisms </w:t>
      </w:r>
      <w:r w:rsidR="00BF365B" w:rsidRPr="00564BB2">
        <w:rPr>
          <w:rFonts w:ascii="Times New Roman" w:hAnsi="Times New Roman" w:cs="Times New Roman"/>
          <w:sz w:val="24"/>
          <w:szCs w:val="24"/>
        </w:rPr>
        <w:fldChar w:fldCharType="begin"/>
      </w:r>
      <w:r w:rsidR="009F796B">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564BB2">
        <w:rPr>
          <w:rFonts w:ascii="Times New Roman" w:hAnsi="Times New Roman" w:cs="Times New Roman"/>
          <w:sz w:val="24"/>
          <w:szCs w:val="24"/>
        </w:rPr>
        <w:fldChar w:fldCharType="separate"/>
      </w:r>
      <w:r w:rsidR="009F796B" w:rsidRPr="009F796B">
        <w:rPr>
          <w:rFonts w:ascii="Times New Roman" w:hAnsi="Times New Roman" w:cs="Times New Roman"/>
          <w:sz w:val="24"/>
        </w:rPr>
        <w:t>(P. S. Kumar et al., 2014)</w:t>
      </w:r>
      <w:r w:rsidR="00BF365B" w:rsidRPr="00564BB2">
        <w:rPr>
          <w:rFonts w:ascii="Times New Roman" w:hAnsi="Times New Roman" w:cs="Times New Roman"/>
          <w:sz w:val="24"/>
          <w:szCs w:val="24"/>
        </w:rPr>
        <w:fldChar w:fldCharType="end"/>
      </w:r>
      <w:r w:rsidR="00BF365B" w:rsidRPr="00564BB2">
        <w:rPr>
          <w:rFonts w:ascii="Times New Roman" w:hAnsi="Times New Roman" w:cs="Times New Roman"/>
          <w:sz w:val="24"/>
          <w:szCs w:val="24"/>
        </w:rPr>
        <w:t>.  Methylene blue is a cation color</w:t>
      </w:r>
      <w:r w:rsidR="00204844" w:rsidRPr="00564BB2">
        <w:rPr>
          <w:rFonts w:ascii="Times New Roman" w:hAnsi="Times New Roman" w:cs="Times New Roman"/>
          <w:sz w:val="24"/>
          <w:szCs w:val="24"/>
        </w:rPr>
        <w:t xml:space="preserve"> with a complex aromatic structure, which is used for colouring cotton and silk </w:t>
      </w:r>
      <w:r w:rsidR="00744C1C" w:rsidRPr="00564BB2">
        <w:rPr>
          <w:rFonts w:ascii="Times New Roman" w:hAnsi="Times New Roman" w:cs="Times New Roman"/>
          <w:sz w:val="24"/>
          <w:szCs w:val="24"/>
        </w:rPr>
        <w:fldChar w:fldCharType="begin"/>
      </w:r>
      <w:r w:rsidR="00744C1C" w:rsidRPr="00564BB2">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564BB2">
        <w:rPr>
          <w:rFonts w:ascii="Times New Roman" w:hAnsi="Times New Roman" w:cs="Times New Roman"/>
          <w:sz w:val="24"/>
          <w:szCs w:val="24"/>
        </w:rPr>
        <w:fldChar w:fldCharType="separate"/>
      </w:r>
      <w:r w:rsidR="00744C1C" w:rsidRPr="00564BB2">
        <w:rPr>
          <w:rFonts w:ascii="Times New Roman" w:hAnsi="Times New Roman" w:cs="Times New Roman"/>
          <w:sz w:val="24"/>
          <w:szCs w:val="24"/>
        </w:rPr>
        <w:t>(Srivastava, 2008)</w:t>
      </w:r>
      <w:r w:rsidR="00744C1C" w:rsidRPr="00564BB2">
        <w:rPr>
          <w:rFonts w:ascii="Times New Roman" w:hAnsi="Times New Roman" w:cs="Times New Roman"/>
          <w:sz w:val="24"/>
          <w:szCs w:val="24"/>
        </w:rPr>
        <w:fldChar w:fldCharType="end"/>
      </w:r>
      <w:r w:rsidR="00A24AD1" w:rsidRPr="00564BB2">
        <w:rPr>
          <w:rFonts w:ascii="Times New Roman" w:hAnsi="Times New Roman" w:cs="Times New Roman"/>
          <w:sz w:val="24"/>
          <w:szCs w:val="24"/>
        </w:rPr>
        <w:t xml:space="preserve">. </w:t>
      </w:r>
      <w:r w:rsidR="003B56A9" w:rsidRPr="00564BB2">
        <w:rPr>
          <w:rFonts w:ascii="Times New Roman" w:hAnsi="Times New Roman" w:cs="Times New Roman"/>
          <w:sz w:val="24"/>
          <w:szCs w:val="24"/>
        </w:rPr>
        <w:t xml:space="preserve">This compound can cause impaired respiration. Further, direct exposure to it causes permanent damage to </w:t>
      </w:r>
      <w:r w:rsidR="000325EA" w:rsidRPr="00564BB2">
        <w:rPr>
          <w:rFonts w:ascii="Times New Roman" w:hAnsi="Times New Roman" w:cs="Times New Roman"/>
          <w:sz w:val="24"/>
          <w:szCs w:val="24"/>
        </w:rPr>
        <w:t xml:space="preserve">human and animal eyes; it also local burns, </w:t>
      </w:r>
      <w:r w:rsidR="002944B7" w:rsidRPr="00564BB2">
        <w:rPr>
          <w:rFonts w:ascii="Times New Roman" w:hAnsi="Times New Roman" w:cs="Times New Roman"/>
          <w:sz w:val="24"/>
          <w:szCs w:val="24"/>
        </w:rPr>
        <w:t xml:space="preserve">nausea and vomiting, mental disorders, and Methemoglobinemia </w:t>
      </w:r>
      <w:r w:rsidR="00E03254" w:rsidRPr="00564BB2">
        <w:rPr>
          <w:rFonts w:ascii="Times New Roman" w:hAnsi="Times New Roman" w:cs="Times New Roman"/>
          <w:sz w:val="24"/>
          <w:szCs w:val="24"/>
        </w:rPr>
        <w:t>(Mulugeta &amp; Belisti, 2014; Rafatullah et al., 2010)</w:t>
      </w:r>
      <w:r w:rsidR="002944B7" w:rsidRPr="00564BB2">
        <w:rPr>
          <w:rFonts w:ascii="Times New Roman" w:hAnsi="Times New Roman" w:cs="Times New Roman"/>
          <w:sz w:val="24"/>
          <w:szCs w:val="24"/>
        </w:rPr>
        <w:t>.</w:t>
      </w:r>
    </w:p>
    <w:p w14:paraId="6C3BAB70" w14:textId="59E64298" w:rsidR="00D85424" w:rsidRPr="00564BB2" w:rsidRDefault="00D85424"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564BB2">
        <w:rPr>
          <w:rFonts w:ascii="Times New Roman" w:hAnsi="Times New Roman" w:cs="Times New Roman"/>
          <w:sz w:val="24"/>
          <w:szCs w:val="24"/>
        </w:rPr>
        <w:t xml:space="preserve"> </w:t>
      </w:r>
      <w:r w:rsidR="003A45E0" w:rsidRPr="00564BB2">
        <w:rPr>
          <w:rFonts w:ascii="Times New Roman" w:hAnsi="Times New Roman" w:cs="Times New Roman"/>
          <w:sz w:val="24"/>
          <w:szCs w:val="24"/>
        </w:rPr>
        <w:fldChar w:fldCharType="begin"/>
      </w:r>
      <w:r w:rsidR="003A45E0" w:rsidRPr="00564BB2">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564BB2">
        <w:rPr>
          <w:rFonts w:ascii="Times New Roman" w:hAnsi="Times New Roman" w:cs="Times New Roman"/>
          <w:sz w:val="24"/>
          <w:szCs w:val="24"/>
        </w:rPr>
        <w:fldChar w:fldCharType="separate"/>
      </w:r>
      <w:r w:rsidR="003A45E0" w:rsidRPr="00564BB2">
        <w:rPr>
          <w:rFonts w:ascii="Times New Roman" w:hAnsi="Times New Roman" w:cs="Times New Roman"/>
          <w:sz w:val="24"/>
          <w:szCs w:val="24"/>
        </w:rPr>
        <w:t>(Al-Tohamy et al., 2022)</w:t>
      </w:r>
      <w:r w:rsidR="003A45E0" w:rsidRPr="00564BB2">
        <w:rPr>
          <w:rFonts w:ascii="Times New Roman" w:hAnsi="Times New Roman" w:cs="Times New Roman"/>
          <w:sz w:val="24"/>
          <w:szCs w:val="24"/>
        </w:rPr>
        <w:fldChar w:fldCharType="end"/>
      </w:r>
    </w:p>
    <w:p w14:paraId="44F9AB30" w14:textId="3AC2F4EA" w:rsidR="00D8646F" w:rsidRPr="00564BB2" w:rsidRDefault="00F75099" w:rsidP="00184A6B">
      <w:pPr>
        <w:spacing w:line="480" w:lineRule="auto"/>
        <w:ind w:left="720"/>
        <w:jc w:val="both"/>
        <w:rPr>
          <w:rFonts w:ascii="Times New Roman" w:hAnsi="Times New Roman" w:cs="Times New Roman"/>
          <w:sz w:val="24"/>
          <w:szCs w:val="24"/>
        </w:rPr>
      </w:pPr>
      <w:r w:rsidRPr="00564BB2">
        <w:rPr>
          <w:rFonts w:ascii="Times New Roman" w:hAnsi="Times New Roman" w:cs="Times New Roman"/>
          <w:sz w:val="24"/>
          <w:szCs w:val="24"/>
        </w:rPr>
        <w:lastRenderedPageBreak/>
        <w:t>In the present</w:t>
      </w:r>
      <w:r w:rsidR="00E12586" w:rsidRPr="00564BB2">
        <w:rPr>
          <w:rFonts w:ascii="Times New Roman" w:hAnsi="Times New Roman" w:cs="Times New Roman"/>
          <w:sz w:val="24"/>
          <w:szCs w:val="24"/>
        </w:rPr>
        <w:t xml:space="preserve"> work Cerium-doped </w:t>
      </w:r>
      <w:r w:rsidR="00C93865" w:rsidRPr="00564BB2">
        <w:rPr>
          <w:rFonts w:ascii="Times New Roman" w:hAnsi="Times New Roman" w:cs="Times New Roman"/>
          <w:sz w:val="24"/>
          <w:szCs w:val="24"/>
        </w:rPr>
        <w:t>Fe</w:t>
      </w:r>
      <w:r w:rsidR="00C93865" w:rsidRPr="00564BB2">
        <w:rPr>
          <w:rFonts w:ascii="Times New Roman" w:hAnsi="Times New Roman" w:cs="Times New Roman"/>
          <w:sz w:val="24"/>
          <w:szCs w:val="24"/>
          <w:vertAlign w:val="subscript"/>
        </w:rPr>
        <w:t>2</w:t>
      </w:r>
      <w:r w:rsidR="00C93865" w:rsidRPr="00564BB2">
        <w:rPr>
          <w:rFonts w:ascii="Times New Roman" w:hAnsi="Times New Roman" w:cs="Times New Roman"/>
          <w:sz w:val="24"/>
          <w:szCs w:val="24"/>
        </w:rPr>
        <w:t>O</w:t>
      </w:r>
      <w:r w:rsidR="00C93865" w:rsidRPr="00564BB2">
        <w:rPr>
          <w:rFonts w:ascii="Times New Roman" w:hAnsi="Times New Roman" w:cs="Times New Roman"/>
          <w:sz w:val="24"/>
          <w:szCs w:val="24"/>
          <w:vertAlign w:val="subscript"/>
        </w:rPr>
        <w:t>3</w:t>
      </w:r>
      <w:r w:rsidR="00E12586" w:rsidRPr="00564BB2">
        <w:rPr>
          <w:rFonts w:ascii="Times New Roman" w:hAnsi="Times New Roman" w:cs="Times New Roman"/>
          <w:sz w:val="24"/>
          <w:szCs w:val="24"/>
        </w:rPr>
        <w:t xml:space="preserve"> nanoparticles with </w:t>
      </w:r>
      <w:r w:rsidR="00B823E9" w:rsidRPr="00564BB2">
        <w:rPr>
          <w:rFonts w:ascii="Times New Roman" w:hAnsi="Times New Roman" w:cs="Times New Roman"/>
          <w:sz w:val="24"/>
          <w:szCs w:val="24"/>
        </w:rPr>
        <w:t xml:space="preserve">different concentration were prepaped with co-precipation method. </w:t>
      </w:r>
      <w:r w:rsidR="004B212F" w:rsidRPr="00564BB2">
        <w:rPr>
          <w:rFonts w:ascii="Times New Roman" w:hAnsi="Times New Roman" w:cs="Times New Roman"/>
          <w:sz w:val="24"/>
          <w:szCs w:val="24"/>
        </w:rPr>
        <w:t xml:space="preserve">Structural and </w:t>
      </w:r>
      <w:r w:rsidR="00D9020F" w:rsidRPr="00564BB2">
        <w:rPr>
          <w:rFonts w:ascii="Times New Roman" w:hAnsi="Times New Roman" w:cs="Times New Roman"/>
          <w:sz w:val="24"/>
          <w:szCs w:val="24"/>
        </w:rPr>
        <w:t xml:space="preserve">adsorbing properties were studied for the prepared particles. Then Cerium-doped </w:t>
      </w:r>
      <w:r w:rsidR="001B2F90" w:rsidRPr="00564BB2">
        <w:rPr>
          <w:rFonts w:ascii="Times New Roman" w:hAnsi="Times New Roman" w:cs="Times New Roman"/>
          <w:sz w:val="24"/>
          <w:szCs w:val="24"/>
        </w:rPr>
        <w:t>Fe</w:t>
      </w:r>
      <w:r w:rsidR="001B2F90" w:rsidRPr="00564BB2">
        <w:rPr>
          <w:rFonts w:ascii="Times New Roman" w:hAnsi="Times New Roman" w:cs="Times New Roman"/>
          <w:sz w:val="24"/>
          <w:szCs w:val="24"/>
          <w:vertAlign w:val="subscript"/>
        </w:rPr>
        <w:t>2</w:t>
      </w:r>
      <w:r w:rsidR="001B2F90" w:rsidRPr="00564BB2">
        <w:rPr>
          <w:rFonts w:ascii="Times New Roman" w:hAnsi="Times New Roman" w:cs="Times New Roman"/>
          <w:sz w:val="24"/>
          <w:szCs w:val="24"/>
        </w:rPr>
        <w:t>O</w:t>
      </w:r>
      <w:r w:rsidR="001B2F90" w:rsidRPr="00564BB2">
        <w:rPr>
          <w:rFonts w:ascii="Times New Roman" w:hAnsi="Times New Roman" w:cs="Times New Roman"/>
          <w:sz w:val="24"/>
          <w:szCs w:val="24"/>
          <w:vertAlign w:val="subscript"/>
        </w:rPr>
        <w:t>3</w:t>
      </w:r>
      <w:r w:rsidR="001B2F90" w:rsidRPr="00564BB2">
        <w:rPr>
          <w:rFonts w:ascii="Times New Roman" w:hAnsi="Times New Roman" w:cs="Times New Roman"/>
          <w:sz w:val="24"/>
          <w:szCs w:val="24"/>
          <w:vertAlign w:val="subscript"/>
        </w:rPr>
        <w:t xml:space="preserve"> </w:t>
      </w:r>
      <w:r w:rsidR="00C66677" w:rsidRPr="00564BB2">
        <w:rPr>
          <w:rFonts w:ascii="Times New Roman" w:hAnsi="Times New Roman" w:cs="Times New Roman"/>
          <w:sz w:val="24"/>
          <w:szCs w:val="24"/>
        </w:rPr>
        <w:t>nanoparticle were efficiently used to adsorbed</w:t>
      </w:r>
      <w:r w:rsidR="0094012E" w:rsidRPr="00564BB2">
        <w:rPr>
          <w:rFonts w:ascii="Times New Roman" w:hAnsi="Times New Roman" w:cs="Times New Roman"/>
          <w:sz w:val="24"/>
          <w:szCs w:val="24"/>
        </w:rPr>
        <w:t xml:space="preserve"> organic dye Methylene blue. These</w:t>
      </w:r>
      <w:r w:rsidR="005D7273">
        <w:rPr>
          <w:rFonts w:ascii="Times New Roman" w:hAnsi="Times New Roman" w:cs="Times New Roman"/>
          <w:sz w:val="24"/>
          <w:szCs w:val="24"/>
        </w:rPr>
        <w:t xml:space="preserve"> </w:t>
      </w:r>
      <w:r w:rsidR="0094012E" w:rsidRPr="00564BB2">
        <w:rPr>
          <w:rFonts w:ascii="Times New Roman" w:hAnsi="Times New Roman" w:cs="Times New Roman"/>
          <w:sz w:val="24"/>
          <w:szCs w:val="24"/>
        </w:rPr>
        <w:t>organic dye are released in to water streams by textile</w:t>
      </w:r>
      <w:r w:rsidR="00E267B9" w:rsidRPr="00564BB2">
        <w:rPr>
          <w:rFonts w:ascii="Times New Roman" w:hAnsi="Times New Roman" w:cs="Times New Roman"/>
          <w:sz w:val="24"/>
          <w:szCs w:val="24"/>
        </w:rPr>
        <w:t>, food, printing industries etc.</w:t>
      </w:r>
      <w:r w:rsidR="00D24DE2" w:rsidRPr="00564BB2">
        <w:rPr>
          <w:rFonts w:ascii="Times New Roman" w:hAnsi="Times New Roman" w:cs="Times New Roman"/>
          <w:sz w:val="24"/>
          <w:szCs w:val="24"/>
        </w:rPr>
        <w:t xml:space="preserve"> The dye polluted water is harmful for aquatic life and is carcinogenic to human beings </w:t>
      </w:r>
      <w:r w:rsidR="00E03254" w:rsidRPr="00564BB2">
        <w:rPr>
          <w:rFonts w:ascii="Times New Roman" w:hAnsi="Times New Roman" w:cs="Times New Roman"/>
          <w:sz w:val="24"/>
          <w:szCs w:val="24"/>
        </w:rPr>
        <w:fldChar w:fldCharType="begin"/>
      </w:r>
      <w:r w:rsidR="00E03254" w:rsidRPr="00564BB2">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564BB2">
        <w:rPr>
          <w:rFonts w:ascii="Times New Roman" w:hAnsi="Times New Roman" w:cs="Times New Roman"/>
          <w:sz w:val="24"/>
          <w:szCs w:val="24"/>
        </w:rPr>
        <w:fldChar w:fldCharType="separate"/>
      </w:r>
      <w:r w:rsidR="00E03254" w:rsidRPr="00564BB2">
        <w:rPr>
          <w:rFonts w:ascii="Times New Roman" w:hAnsi="Times New Roman" w:cs="Times New Roman"/>
          <w:sz w:val="24"/>
          <w:szCs w:val="24"/>
        </w:rPr>
        <w:t>(Phuruangrat et al., 2018)</w:t>
      </w:r>
      <w:r w:rsidR="00E03254" w:rsidRPr="00564BB2">
        <w:rPr>
          <w:rFonts w:ascii="Times New Roman" w:hAnsi="Times New Roman" w:cs="Times New Roman"/>
          <w:sz w:val="24"/>
          <w:szCs w:val="24"/>
        </w:rPr>
        <w:fldChar w:fldCharType="end"/>
      </w:r>
      <w:r w:rsidR="00E03254" w:rsidRPr="00564BB2">
        <w:rPr>
          <w:rFonts w:ascii="Times New Roman" w:hAnsi="Times New Roman" w:cs="Times New Roman"/>
          <w:sz w:val="24"/>
          <w:szCs w:val="24"/>
        </w:rPr>
        <w:t>.</w:t>
      </w:r>
    </w:p>
    <w:p w14:paraId="4C32BCD4" w14:textId="152AB367" w:rsidR="008F1AAC" w:rsidRPr="00564BB2" w:rsidRDefault="00F73C81" w:rsidP="00184A6B">
      <w:pPr>
        <w:pStyle w:val="ListParagraph"/>
        <w:numPr>
          <w:ilvl w:val="1"/>
          <w:numId w:val="1"/>
        </w:numPr>
        <w:spacing w:line="480" w:lineRule="auto"/>
        <w:rPr>
          <w:rFonts w:ascii="Times New Roman" w:hAnsi="Times New Roman" w:cs="Times New Roman"/>
          <w:sz w:val="24"/>
          <w:szCs w:val="24"/>
        </w:rPr>
      </w:pPr>
      <w:r w:rsidRPr="00564BB2">
        <w:rPr>
          <w:rFonts w:ascii="Times New Roman" w:hAnsi="Times New Roman" w:cs="Times New Roman"/>
          <w:sz w:val="24"/>
          <w:szCs w:val="24"/>
        </w:rPr>
        <w:t>AIM AND OBJECTIVE</w:t>
      </w:r>
      <w:r w:rsidR="000E326A" w:rsidRPr="00564BB2">
        <w:rPr>
          <w:rFonts w:ascii="Times New Roman" w:hAnsi="Times New Roman" w:cs="Times New Roman"/>
          <w:sz w:val="24"/>
          <w:szCs w:val="24"/>
        </w:rPr>
        <w:t>S</w:t>
      </w:r>
    </w:p>
    <w:p w14:paraId="5AC4848F" w14:textId="6C802463" w:rsidR="00F73C81" w:rsidRPr="00564BB2" w:rsidRDefault="000E326A"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1.2.1</w:t>
      </w:r>
      <w:r w:rsidRPr="00564BB2">
        <w:rPr>
          <w:rFonts w:ascii="Times New Roman" w:hAnsi="Times New Roman" w:cs="Times New Roman"/>
          <w:color w:val="auto"/>
        </w:rPr>
        <w:tab/>
        <w:t>AIM OF STUDY</w:t>
      </w:r>
    </w:p>
    <w:p w14:paraId="501F45C5" w14:textId="5337CD98" w:rsidR="00F73C81" w:rsidRPr="00564BB2" w:rsidRDefault="00F73C81" w:rsidP="00184A6B">
      <w:pPr>
        <w:pStyle w:val="ListParagraph"/>
        <w:spacing w:line="480" w:lineRule="auto"/>
        <w:rPr>
          <w:rFonts w:ascii="Times New Roman" w:hAnsi="Times New Roman" w:cs="Times New Roman"/>
          <w:sz w:val="24"/>
          <w:szCs w:val="24"/>
        </w:rPr>
      </w:pPr>
      <w:r w:rsidRPr="00564BB2">
        <w:rPr>
          <w:rFonts w:ascii="Times New Roman" w:hAnsi="Times New Roman" w:cs="Times New Roman"/>
          <w:sz w:val="24"/>
          <w:szCs w:val="24"/>
        </w:rPr>
        <w:t>The aim and objective of this work is the investigation of the effectiveness of Ce</w:t>
      </w:r>
      <w:r w:rsidR="00F37F73" w:rsidRPr="00564BB2">
        <w:rPr>
          <w:rFonts w:ascii="Times New Roman" w:hAnsi="Times New Roman" w:cs="Times New Roman"/>
          <w:sz w:val="24"/>
          <w:szCs w:val="24"/>
        </w:rPr>
        <w:t>-</w:t>
      </w:r>
      <w:r w:rsidRPr="00564BB2">
        <w:rPr>
          <w:rFonts w:ascii="Times New Roman" w:hAnsi="Times New Roman" w:cs="Times New Roman"/>
          <w:sz w:val="24"/>
          <w:szCs w:val="24"/>
        </w:rPr>
        <w:t xml:space="preserve">doped ZnO Nanoparticle on the removal of Methylene from aqueous solution and the applicability of </w:t>
      </w:r>
      <w:r w:rsidR="000E326A" w:rsidRPr="00564BB2">
        <w:rPr>
          <w:rFonts w:ascii="Times New Roman" w:hAnsi="Times New Roman" w:cs="Times New Roman"/>
          <w:sz w:val="24"/>
          <w:szCs w:val="24"/>
        </w:rPr>
        <w:t>Linear</w:t>
      </w:r>
      <w:r w:rsidRPr="00564BB2">
        <w:rPr>
          <w:rFonts w:ascii="Times New Roman" w:hAnsi="Times New Roman" w:cs="Times New Roman"/>
          <w:sz w:val="24"/>
          <w:szCs w:val="24"/>
        </w:rPr>
        <w:t xml:space="preserve"> adsorption isotherm and Kinetic models on the proces</w:t>
      </w:r>
      <w:r w:rsidR="000E326A" w:rsidRPr="00564BB2">
        <w:rPr>
          <w:rFonts w:ascii="Times New Roman" w:hAnsi="Times New Roman" w:cs="Times New Roman"/>
          <w:sz w:val="24"/>
          <w:szCs w:val="24"/>
        </w:rPr>
        <w:t xml:space="preserve">s. </w:t>
      </w:r>
    </w:p>
    <w:p w14:paraId="4E6F2844" w14:textId="1647697B" w:rsidR="000E326A" w:rsidRPr="00564BB2" w:rsidRDefault="000E326A"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1.2.2</w:t>
      </w:r>
      <w:r w:rsidRPr="00564BB2">
        <w:rPr>
          <w:rFonts w:ascii="Times New Roman" w:hAnsi="Times New Roman" w:cs="Times New Roman"/>
          <w:sz w:val="24"/>
          <w:szCs w:val="24"/>
        </w:rPr>
        <w:tab/>
        <w:t xml:space="preserve">Specific objectives of Study </w:t>
      </w:r>
    </w:p>
    <w:p w14:paraId="212D2B45" w14:textId="69009432" w:rsidR="000E326A" w:rsidRPr="00564BB2" w:rsidRDefault="000E326A"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The specific objective of this work includes:</w:t>
      </w:r>
    </w:p>
    <w:p w14:paraId="426F9611" w14:textId="6F1233EA" w:rsidR="000E326A" w:rsidRPr="00564BB2" w:rsidRDefault="000E326A"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To synthesis and characterize the Ce-doped </w:t>
      </w:r>
      <w:r w:rsidR="00190AEC" w:rsidRPr="00564BB2">
        <w:rPr>
          <w:rFonts w:ascii="Times New Roman" w:hAnsi="Times New Roman" w:cs="Times New Roman"/>
          <w:sz w:val="24"/>
          <w:szCs w:val="24"/>
        </w:rPr>
        <w:t>Fe</w:t>
      </w:r>
      <w:r w:rsidR="00190AEC" w:rsidRPr="00564BB2">
        <w:rPr>
          <w:rFonts w:ascii="Times New Roman" w:hAnsi="Times New Roman" w:cs="Times New Roman"/>
          <w:sz w:val="24"/>
          <w:szCs w:val="24"/>
          <w:vertAlign w:val="subscript"/>
        </w:rPr>
        <w:t>2</w:t>
      </w:r>
      <w:r w:rsidR="00190AEC" w:rsidRPr="00564BB2">
        <w:rPr>
          <w:rFonts w:ascii="Times New Roman" w:hAnsi="Times New Roman" w:cs="Times New Roman"/>
          <w:sz w:val="24"/>
          <w:szCs w:val="24"/>
        </w:rPr>
        <w:t>O</w:t>
      </w:r>
      <w:r w:rsidR="00190AEC" w:rsidRPr="00564BB2">
        <w:rPr>
          <w:rFonts w:ascii="Times New Roman" w:hAnsi="Times New Roman" w:cs="Times New Roman"/>
          <w:sz w:val="24"/>
          <w:szCs w:val="24"/>
          <w:vertAlign w:val="subscript"/>
        </w:rPr>
        <w:t>3</w:t>
      </w:r>
      <w:r w:rsidR="00190AEC" w:rsidRPr="00564BB2">
        <w:rPr>
          <w:rFonts w:ascii="Times New Roman" w:hAnsi="Times New Roman" w:cs="Times New Roman"/>
          <w:sz w:val="24"/>
          <w:szCs w:val="24"/>
          <w:vertAlign w:val="subscript"/>
        </w:rPr>
        <w:t xml:space="preserve"> </w:t>
      </w:r>
      <w:r w:rsidR="00F37F73" w:rsidRPr="00564BB2">
        <w:rPr>
          <w:rFonts w:ascii="Times New Roman" w:hAnsi="Times New Roman" w:cs="Times New Roman"/>
          <w:sz w:val="24"/>
          <w:szCs w:val="24"/>
        </w:rPr>
        <w:t>nanoparticle</w:t>
      </w:r>
      <w:r w:rsidR="00444B46" w:rsidRPr="00564BB2">
        <w:rPr>
          <w:rFonts w:ascii="Times New Roman" w:hAnsi="Times New Roman" w:cs="Times New Roman"/>
          <w:sz w:val="24"/>
          <w:szCs w:val="24"/>
        </w:rPr>
        <w:fldChar w:fldCharType="begin"/>
      </w:r>
      <w:r w:rsidR="00BF365B" w:rsidRPr="00564BB2">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564BB2">
        <w:rPr>
          <w:rFonts w:ascii="Times New Roman" w:hAnsi="Times New Roman" w:cs="Times New Roman"/>
          <w:sz w:val="24"/>
          <w:szCs w:val="24"/>
        </w:rPr>
        <w:fldChar w:fldCharType="separate"/>
      </w:r>
      <w:r w:rsidR="00444B46" w:rsidRPr="00564BB2">
        <w:rPr>
          <w:rFonts w:ascii="Times New Roman" w:hAnsi="Times New Roman" w:cs="Times New Roman"/>
          <w:sz w:val="24"/>
          <w:szCs w:val="24"/>
        </w:rPr>
        <w:fldChar w:fldCharType="end"/>
      </w:r>
      <w:r w:rsidR="00444B46" w:rsidRPr="00564BB2">
        <w:rPr>
          <w:rFonts w:ascii="Times New Roman" w:hAnsi="Times New Roman" w:cs="Times New Roman"/>
          <w:sz w:val="24"/>
          <w:szCs w:val="24"/>
        </w:rPr>
        <w:t xml:space="preserve"> </w:t>
      </w:r>
      <w:r w:rsidR="002657F2" w:rsidRPr="00564BB2">
        <w:rPr>
          <w:rFonts w:ascii="Times New Roman" w:hAnsi="Times New Roman" w:cs="Times New Roman"/>
          <w:sz w:val="24"/>
          <w:szCs w:val="24"/>
        </w:rPr>
        <w:t>by varoius  technique such as X-ray diffraction (XRD)</w:t>
      </w:r>
      <w:r w:rsidR="00F10341" w:rsidRPr="00564BB2">
        <w:rPr>
          <w:rFonts w:ascii="Times New Roman" w:hAnsi="Times New Roman" w:cs="Times New Roman"/>
          <w:sz w:val="24"/>
          <w:szCs w:val="24"/>
        </w:rPr>
        <w:t>, Ultra Violet Spectroscopy and Fourier Transform infrared Spectroscopy (FTIR).</w:t>
      </w:r>
    </w:p>
    <w:p w14:paraId="6DB9413A" w14:textId="2D23944A" w:rsidR="008A51E8" w:rsidRPr="00564BB2" w:rsidRDefault="008A51E8"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Evaluate the effectiveness of Ce-doped </w:t>
      </w:r>
      <w:r w:rsidR="00190AEC" w:rsidRPr="00564BB2">
        <w:rPr>
          <w:rFonts w:ascii="Times New Roman" w:hAnsi="Times New Roman" w:cs="Times New Roman"/>
          <w:sz w:val="24"/>
          <w:szCs w:val="24"/>
        </w:rPr>
        <w:t>Fe</w:t>
      </w:r>
      <w:r w:rsidR="00190AEC" w:rsidRPr="00564BB2">
        <w:rPr>
          <w:rFonts w:ascii="Times New Roman" w:hAnsi="Times New Roman" w:cs="Times New Roman"/>
          <w:sz w:val="24"/>
          <w:szCs w:val="24"/>
          <w:vertAlign w:val="subscript"/>
        </w:rPr>
        <w:t>2</w:t>
      </w:r>
      <w:r w:rsidR="00190AEC" w:rsidRPr="00564BB2">
        <w:rPr>
          <w:rFonts w:ascii="Times New Roman" w:hAnsi="Times New Roman" w:cs="Times New Roman"/>
          <w:sz w:val="24"/>
          <w:szCs w:val="24"/>
        </w:rPr>
        <w:t>O</w:t>
      </w:r>
      <w:r w:rsidR="00190AEC" w:rsidRPr="00564BB2">
        <w:rPr>
          <w:rFonts w:ascii="Times New Roman" w:hAnsi="Times New Roman" w:cs="Times New Roman"/>
          <w:sz w:val="24"/>
          <w:szCs w:val="24"/>
          <w:vertAlign w:val="subscript"/>
        </w:rPr>
        <w:t>3</w:t>
      </w:r>
      <w:r w:rsidR="00190AEC" w:rsidRPr="00564BB2">
        <w:rPr>
          <w:rFonts w:ascii="Times New Roman" w:hAnsi="Times New Roman" w:cs="Times New Roman"/>
          <w:sz w:val="24"/>
          <w:szCs w:val="24"/>
        </w:rPr>
        <w:t xml:space="preserve"> </w:t>
      </w:r>
      <w:r w:rsidRPr="00564BB2">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UV-Vis spectroscopy to quantify the amount of methylene blue adsorbed onto the nanoparticles.</w:t>
      </w:r>
    </w:p>
    <w:p w14:paraId="7E452269" w14:textId="5A7EF245" w:rsidR="00105469" w:rsidRPr="00564BB2" w:rsidRDefault="00821174"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86741F" w:rsidRPr="00564BB2">
        <w:rPr>
          <w:rFonts w:ascii="Times New Roman" w:hAnsi="Times New Roman" w:cs="Times New Roman"/>
          <w:sz w:val="24"/>
          <w:szCs w:val="24"/>
        </w:rPr>
        <w:t>Fe</w:t>
      </w:r>
      <w:r w:rsidR="0086741F" w:rsidRPr="00564BB2">
        <w:rPr>
          <w:rFonts w:ascii="Times New Roman" w:hAnsi="Times New Roman" w:cs="Times New Roman"/>
          <w:sz w:val="24"/>
          <w:szCs w:val="24"/>
          <w:vertAlign w:val="subscript"/>
        </w:rPr>
        <w:t>2</w:t>
      </w:r>
      <w:r w:rsidR="0086741F" w:rsidRPr="00564BB2">
        <w:rPr>
          <w:rFonts w:ascii="Times New Roman" w:hAnsi="Times New Roman" w:cs="Times New Roman"/>
          <w:sz w:val="24"/>
          <w:szCs w:val="24"/>
        </w:rPr>
        <w:t>O</w:t>
      </w:r>
      <w:r w:rsidR="0086741F" w:rsidRPr="00564BB2">
        <w:rPr>
          <w:rFonts w:ascii="Times New Roman" w:hAnsi="Times New Roman" w:cs="Times New Roman"/>
          <w:sz w:val="24"/>
          <w:szCs w:val="24"/>
          <w:vertAlign w:val="subscript"/>
        </w:rPr>
        <w:t>3</w:t>
      </w:r>
      <w:r w:rsidR="0086741F" w:rsidRPr="00564BB2">
        <w:rPr>
          <w:rFonts w:ascii="Times New Roman" w:hAnsi="Times New Roman" w:cs="Times New Roman"/>
          <w:sz w:val="24"/>
          <w:szCs w:val="24"/>
          <w:vertAlign w:val="subscript"/>
        </w:rPr>
        <w:t xml:space="preserve"> </w:t>
      </w:r>
      <w:r w:rsidRPr="00564BB2">
        <w:rPr>
          <w:rFonts w:ascii="Times New Roman" w:hAnsi="Times New Roman" w:cs="Times New Roman"/>
          <w:sz w:val="24"/>
          <w:szCs w:val="24"/>
        </w:rPr>
        <w:t>nanoparticles</w:t>
      </w:r>
      <w:r w:rsidR="00076D0D" w:rsidRPr="00564BB2">
        <w:rPr>
          <w:rFonts w:ascii="Times New Roman" w:hAnsi="Times New Roman" w:cs="Times New Roman"/>
          <w:sz w:val="24"/>
          <w:szCs w:val="24"/>
        </w:rPr>
        <w:t>.</w:t>
      </w:r>
    </w:p>
    <w:p w14:paraId="1148A63B" w14:textId="66E20A10" w:rsidR="00076D0D" w:rsidRPr="00564BB2" w:rsidRDefault="008C3C16"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Applying linear adsorption isotherms (e.g., Langmuir, Freundlich) to understand the interaction between the dye and the nanoparticles.</w:t>
      </w:r>
    </w:p>
    <w:p w14:paraId="39433E87" w14:textId="7E7A541C" w:rsidR="000660E3" w:rsidRPr="00564BB2" w:rsidRDefault="00FD5DDD" w:rsidP="00184A6B">
      <w:pPr>
        <w:pStyle w:val="ListParagraph"/>
        <w:numPr>
          <w:ilvl w:val="0"/>
          <w:numId w:val="2"/>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Based on the findings, propose potential areas for future research to further explore and improve the Ce-doped </w:t>
      </w:r>
      <w:r w:rsidR="0086741F" w:rsidRPr="00564BB2">
        <w:rPr>
          <w:rFonts w:ascii="Times New Roman" w:hAnsi="Times New Roman" w:cs="Times New Roman"/>
          <w:sz w:val="24"/>
          <w:szCs w:val="24"/>
        </w:rPr>
        <w:t>Fe</w:t>
      </w:r>
      <w:r w:rsidR="0086741F" w:rsidRPr="00564BB2">
        <w:rPr>
          <w:rFonts w:ascii="Times New Roman" w:hAnsi="Times New Roman" w:cs="Times New Roman"/>
          <w:sz w:val="24"/>
          <w:szCs w:val="24"/>
          <w:vertAlign w:val="subscript"/>
        </w:rPr>
        <w:t>2</w:t>
      </w:r>
      <w:r w:rsidR="0086741F" w:rsidRPr="00564BB2">
        <w:rPr>
          <w:rFonts w:ascii="Times New Roman" w:hAnsi="Times New Roman" w:cs="Times New Roman"/>
          <w:sz w:val="24"/>
          <w:szCs w:val="24"/>
        </w:rPr>
        <w:t>O</w:t>
      </w:r>
      <w:r w:rsidR="0086741F" w:rsidRPr="00564BB2">
        <w:rPr>
          <w:rFonts w:ascii="Times New Roman" w:hAnsi="Times New Roman" w:cs="Times New Roman"/>
          <w:sz w:val="24"/>
          <w:szCs w:val="24"/>
          <w:vertAlign w:val="subscript"/>
        </w:rPr>
        <w:t>3</w:t>
      </w:r>
      <w:r w:rsidR="0086741F" w:rsidRPr="00564BB2">
        <w:rPr>
          <w:rFonts w:ascii="Times New Roman" w:hAnsi="Times New Roman" w:cs="Times New Roman"/>
          <w:sz w:val="24"/>
          <w:szCs w:val="24"/>
          <w:vertAlign w:val="subscript"/>
        </w:rPr>
        <w:t xml:space="preserve"> </w:t>
      </w:r>
      <w:r w:rsidRPr="00564BB2">
        <w:rPr>
          <w:rFonts w:ascii="Times New Roman" w:hAnsi="Times New Roman" w:cs="Times New Roman"/>
          <w:sz w:val="24"/>
          <w:szCs w:val="24"/>
        </w:rPr>
        <w:t>nanoparticle system for methylene blue removal or its application for the removal of other pollutants.</w:t>
      </w:r>
    </w:p>
    <w:p w14:paraId="684C3C32" w14:textId="77777777" w:rsidR="008C3C16" w:rsidRPr="00564BB2" w:rsidRDefault="008C3C16" w:rsidP="00184A6B">
      <w:pPr>
        <w:pStyle w:val="ListParagraph"/>
        <w:spacing w:line="480" w:lineRule="auto"/>
        <w:rPr>
          <w:rFonts w:ascii="Times New Roman" w:hAnsi="Times New Roman" w:cs="Times New Roman"/>
          <w:sz w:val="24"/>
          <w:szCs w:val="24"/>
        </w:rPr>
      </w:pPr>
    </w:p>
    <w:p w14:paraId="42C116EC" w14:textId="77777777" w:rsidR="00950583" w:rsidRDefault="00F73C81" w:rsidP="00184A6B">
      <w:pPr>
        <w:pStyle w:val="ListParagraph"/>
        <w:numPr>
          <w:ilvl w:val="1"/>
          <w:numId w:val="1"/>
        </w:numPr>
        <w:spacing w:line="480" w:lineRule="auto"/>
        <w:rPr>
          <w:rFonts w:ascii="Times New Roman" w:hAnsi="Times New Roman" w:cs="Times New Roman"/>
          <w:sz w:val="24"/>
          <w:szCs w:val="24"/>
        </w:rPr>
      </w:pPr>
      <w:r w:rsidRPr="00564BB2">
        <w:rPr>
          <w:rFonts w:ascii="Times New Roman" w:hAnsi="Times New Roman" w:cs="Times New Roman"/>
          <w:sz w:val="24"/>
          <w:szCs w:val="24"/>
        </w:rPr>
        <w:t xml:space="preserve">JUSTIFICATION AND SIGNIFICANCE OF THE STUDY </w:t>
      </w:r>
    </w:p>
    <w:p w14:paraId="431EEC74" w14:textId="5F3BA75A" w:rsidR="00564BB2" w:rsidRPr="00564BB2" w:rsidRDefault="00564BB2" w:rsidP="00184A6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1629A7" w14:textId="4931503B" w:rsidR="00950583" w:rsidRPr="00564BB2" w:rsidRDefault="00BB776C" w:rsidP="00184A6B">
      <w:pPr>
        <w:pStyle w:val="Heading1"/>
        <w:spacing w:line="480" w:lineRule="auto"/>
        <w:rPr>
          <w:rFonts w:ascii="Times New Roman" w:hAnsi="Times New Roman" w:cs="Times New Roman"/>
          <w:color w:val="auto"/>
          <w:sz w:val="24"/>
          <w:szCs w:val="24"/>
        </w:rPr>
      </w:pPr>
      <w:bookmarkStart w:id="1" w:name="_Hlk163171656"/>
      <w:r w:rsidRPr="00564BB2">
        <w:rPr>
          <w:rFonts w:ascii="Times New Roman" w:hAnsi="Times New Roman" w:cs="Times New Roman"/>
          <w:color w:val="auto"/>
          <w:sz w:val="24"/>
          <w:szCs w:val="24"/>
        </w:rPr>
        <w:lastRenderedPageBreak/>
        <w:t>CHAPTER TWO</w:t>
      </w:r>
    </w:p>
    <w:p w14:paraId="5F0B5076" w14:textId="3A066C1A" w:rsidR="00950583" w:rsidRPr="00564BB2" w:rsidRDefault="00BB776C" w:rsidP="00184A6B">
      <w:pPr>
        <w:pStyle w:val="Heading1"/>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LITERATURE REVIEW</w:t>
      </w:r>
    </w:p>
    <w:p w14:paraId="79C8674B" w14:textId="69054ACF" w:rsidR="00BA576C"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2.1</w:t>
      </w:r>
      <w:r w:rsidRPr="00564BB2">
        <w:rPr>
          <w:rFonts w:ascii="Times New Roman" w:hAnsi="Times New Roman" w:cs="Times New Roman"/>
          <w:color w:val="auto"/>
          <w:sz w:val="24"/>
          <w:szCs w:val="24"/>
        </w:rPr>
        <w:tab/>
        <w:t>ADSORPTION</w:t>
      </w:r>
    </w:p>
    <w:p w14:paraId="5DDEB000" w14:textId="77777777" w:rsidR="005F5B43" w:rsidRPr="00564BB2" w:rsidRDefault="005F5B43" w:rsidP="00184A6B">
      <w:pPr>
        <w:spacing w:line="480" w:lineRule="auto"/>
        <w:rPr>
          <w:rFonts w:ascii="Times New Roman" w:hAnsi="Times New Roman" w:cs="Times New Roman"/>
          <w:sz w:val="24"/>
          <w:szCs w:val="24"/>
        </w:rPr>
      </w:pPr>
    </w:p>
    <w:p w14:paraId="7C69242F" w14:textId="74C19477" w:rsidR="00987783"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 xml:space="preserve">2.2 </w:t>
      </w:r>
      <w:r w:rsidRPr="00564BB2">
        <w:rPr>
          <w:rFonts w:ascii="Times New Roman" w:hAnsi="Times New Roman" w:cs="Times New Roman"/>
          <w:color w:val="auto"/>
          <w:sz w:val="24"/>
          <w:szCs w:val="24"/>
        </w:rPr>
        <w:tab/>
        <w:t>FACTOR AFFECTING ADSORPTION CAPACITY</w:t>
      </w:r>
    </w:p>
    <w:p w14:paraId="58314C48" w14:textId="77777777" w:rsidR="00987783" w:rsidRPr="00564BB2" w:rsidRDefault="00987783" w:rsidP="00184A6B">
      <w:pPr>
        <w:spacing w:line="480" w:lineRule="auto"/>
        <w:rPr>
          <w:rFonts w:ascii="Times New Roman" w:hAnsi="Times New Roman" w:cs="Times New Roman"/>
          <w:sz w:val="24"/>
          <w:szCs w:val="24"/>
        </w:rPr>
      </w:pPr>
    </w:p>
    <w:p w14:paraId="10BE4086" w14:textId="7957FDC6" w:rsidR="00987783"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2.3</w:t>
      </w:r>
      <w:r w:rsidRPr="00564BB2">
        <w:rPr>
          <w:rFonts w:ascii="Times New Roman" w:hAnsi="Times New Roman" w:cs="Times New Roman"/>
          <w:color w:val="auto"/>
          <w:sz w:val="24"/>
          <w:szCs w:val="24"/>
        </w:rPr>
        <w:tab/>
      </w:r>
      <w:r w:rsidR="00E70B53">
        <w:rPr>
          <w:rFonts w:ascii="Times New Roman" w:hAnsi="Times New Roman" w:cs="Times New Roman"/>
          <w:color w:val="auto"/>
          <w:sz w:val="24"/>
          <w:szCs w:val="24"/>
        </w:rPr>
        <w:t xml:space="preserve">ADSORPTION </w:t>
      </w:r>
      <w:r w:rsidRPr="00564BB2">
        <w:rPr>
          <w:rFonts w:ascii="Times New Roman" w:hAnsi="Times New Roman" w:cs="Times New Roman"/>
          <w:color w:val="auto"/>
          <w:sz w:val="24"/>
          <w:szCs w:val="24"/>
        </w:rPr>
        <w:t>KINETIC MODEL</w:t>
      </w:r>
    </w:p>
    <w:p w14:paraId="2BED3704" w14:textId="323C493D" w:rsidR="009A1C8A" w:rsidRPr="009A1C8A" w:rsidRDefault="0044125D" w:rsidP="00571E80">
      <w:pPr>
        <w:jc w:val="both"/>
      </w:pPr>
      <w:r w:rsidRPr="0044125D">
        <w:t>The adsorption kinetic study provides</w:t>
      </w:r>
      <w:r>
        <w:t xml:space="preserve"> </w:t>
      </w:r>
      <w:r w:rsidR="00953E59">
        <w:t>information of the adsorption rate, the performance of the adsorbent</w:t>
      </w:r>
      <w:r w:rsidR="00953E59">
        <w:t xml:space="preserve"> </w:t>
      </w:r>
      <w:r w:rsidR="00953E59">
        <w:t>used, and the mass transfer mechanisms. Knowing the adsorption kinetic</w:t>
      </w:r>
      <w:r w:rsidR="00953E59">
        <w:t xml:space="preserve"> </w:t>
      </w:r>
      <w:r w:rsidR="00953E59">
        <w:t>is essential for the</w:t>
      </w:r>
      <w:r w:rsidR="00953E59">
        <w:t xml:space="preserve"> </w:t>
      </w:r>
      <w:r w:rsidR="00953E59">
        <w:t>design of the adsorption systems</w:t>
      </w:r>
      <w:r w:rsidR="003C41A6">
        <w:t xml:space="preserve"> </w:t>
      </w:r>
      <w:r w:rsidR="00EC64CA">
        <w:fldChar w:fldCharType="begin"/>
      </w:r>
      <w:r w:rsidR="00EC64CA">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fldChar w:fldCharType="separate"/>
      </w:r>
      <w:r w:rsidR="00EC64CA" w:rsidRPr="00EC64CA">
        <w:rPr>
          <w:rFonts w:ascii="Calibri" w:hAnsi="Calibri" w:cs="Calibri"/>
        </w:rPr>
        <w:t>(Wang &amp; Guo, 2020)</w:t>
      </w:r>
      <w:r w:rsidR="00EC64CA">
        <w:fldChar w:fldCharType="end"/>
      </w:r>
      <w:r w:rsidR="00953E59">
        <w:t>. The adsorption</w:t>
      </w:r>
      <w:r w:rsidR="00953E59">
        <w:t xml:space="preserve"> </w:t>
      </w:r>
      <w:r w:rsidR="00953E59">
        <w:t>mass transfer kinetic includes three steps, as shown in Fig</w:t>
      </w:r>
      <w:r w:rsidR="00571E80">
        <w:t>ure</w:t>
      </w:r>
      <w:r w:rsidR="00953E59">
        <w:t xml:space="preserve">. </w:t>
      </w:r>
      <w:r w:rsidR="00571E80">
        <w:t>2</w:t>
      </w:r>
      <w:r w:rsidR="00953E59">
        <w:t>. The</w:t>
      </w:r>
      <w:r w:rsidR="00953E59">
        <w:t xml:space="preserve"> </w:t>
      </w:r>
      <w:r w:rsidR="00953E59">
        <w:t>first step is the external diffusion. In this step, the adsorbate transfers</w:t>
      </w:r>
      <w:r w:rsidR="00953E59">
        <w:t xml:space="preserve"> </w:t>
      </w:r>
      <w:r w:rsidR="00953E59">
        <w:t>through the liquid film</w:t>
      </w:r>
      <w:r w:rsidR="00953E59">
        <w:t xml:space="preserve"> </w:t>
      </w:r>
      <w:r w:rsidR="00953E59">
        <w:t>around the adsorbent. The concentrations difference</w:t>
      </w:r>
      <w:r w:rsidR="00953E59">
        <w:t xml:space="preserve"> </w:t>
      </w:r>
      <w:r w:rsidR="00953E59">
        <w:t>between the bulk solution and the surface of the</w:t>
      </w:r>
      <w:r w:rsidR="00953E59">
        <w:t xml:space="preserve"> </w:t>
      </w:r>
      <w:r w:rsidR="00953E59">
        <w:t>adsorbent are</w:t>
      </w:r>
      <w:r w:rsidR="00953E59">
        <w:t xml:space="preserve"> </w:t>
      </w:r>
      <w:r w:rsidR="00953E59">
        <w:t>the driving force of the external diffusion. The second step is the internal</w:t>
      </w:r>
      <w:r w:rsidR="00953E59">
        <w:t xml:space="preserve"> </w:t>
      </w:r>
      <w:r w:rsidR="00953E59">
        <w:t>diffusion. The</w:t>
      </w:r>
      <w:r w:rsidR="00571E80">
        <w:t xml:space="preserve"> </w:t>
      </w:r>
      <w:r w:rsidR="00953E59">
        <w:t>internal diffusion describes the diffusion of the</w:t>
      </w:r>
      <w:r w:rsidR="00571E80">
        <w:t xml:space="preserve"> </w:t>
      </w:r>
      <w:r w:rsidR="00953E59">
        <w:t>adsorbate in the pores of the adsorbent. The third step is</w:t>
      </w:r>
      <w:r w:rsidR="00571E80">
        <w:t xml:space="preserve"> </w:t>
      </w:r>
      <w:r w:rsidR="00953E59">
        <w:t>the adsorption</w:t>
      </w:r>
      <w:r w:rsidR="00571E80">
        <w:t xml:space="preserve"> </w:t>
      </w:r>
      <w:r w:rsidR="00953E59">
        <w:t>of the adsorbate in the active sites of the adsorbent</w:t>
      </w:r>
      <w:r w:rsidR="00984B6B">
        <w:t xml:space="preserve"> </w:t>
      </w:r>
      <w:r w:rsidR="00984B6B">
        <w:fldChar w:fldCharType="begin"/>
      </w:r>
      <w:r w:rsidR="00984B6B">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fldChar w:fldCharType="separate"/>
      </w:r>
      <w:r w:rsidR="00984B6B" w:rsidRPr="00984B6B">
        <w:rPr>
          <w:rFonts w:ascii="Calibri" w:hAnsi="Calibri" w:cs="Calibri"/>
        </w:rPr>
        <w:t>(Wang &amp; Guo, 2020)</w:t>
      </w:r>
      <w:r w:rsidR="00984B6B">
        <w:fldChar w:fldCharType="end"/>
      </w:r>
      <w:r w:rsidR="00953E59">
        <w:t>.</w:t>
      </w:r>
    </w:p>
    <w:p w14:paraId="1562FC66" w14:textId="504BCE65" w:rsidR="009A1C8A" w:rsidRDefault="00887D2F" w:rsidP="009A1C8A">
      <w:pPr>
        <w:keepNext/>
        <w:spacing w:line="480" w:lineRule="auto"/>
      </w:pPr>
      <w:r>
        <w:rPr>
          <w:noProof/>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8"/>
                    <a:stretch>
                      <a:fillRect/>
                    </a:stretch>
                  </pic:blipFill>
                  <pic:spPr>
                    <a:xfrm>
                      <a:off x="0" y="0"/>
                      <a:ext cx="4788921" cy="1916296"/>
                    </a:xfrm>
                    <a:prstGeom prst="rect">
                      <a:avLst/>
                    </a:prstGeom>
                  </pic:spPr>
                </pic:pic>
              </a:graphicData>
            </a:graphic>
          </wp:inline>
        </w:drawing>
      </w:r>
      <w:r>
        <w:rPr>
          <w:noProof/>
        </w:rPr>
        <w:t xml:space="preserve"> </w:t>
      </w:r>
    </w:p>
    <w:p w14:paraId="0320831C" w14:textId="076641C2" w:rsidR="00931564" w:rsidRPr="00344159" w:rsidRDefault="009A1C8A" w:rsidP="009A1C8A">
      <w:pPr>
        <w:pStyle w:val="Caption"/>
        <w:rPr>
          <w:rFonts w:ascii="Times New Roman" w:hAnsi="Times New Roman" w:cs="Times New Roman"/>
          <w:i w:val="0"/>
          <w:iCs w:val="0"/>
          <w:color w:val="auto"/>
          <w:sz w:val="28"/>
          <w:szCs w:val="28"/>
        </w:rPr>
      </w:pPr>
      <w:r w:rsidRPr="00344159">
        <w:rPr>
          <w:rFonts w:ascii="Times New Roman" w:hAnsi="Times New Roman" w:cs="Times New Roman"/>
          <w:i w:val="0"/>
          <w:iCs w:val="0"/>
          <w:color w:val="auto"/>
          <w:sz w:val="28"/>
          <w:szCs w:val="28"/>
        </w:rPr>
        <w:t xml:space="preserve">Figure </w:t>
      </w:r>
      <w:r w:rsidRPr="00344159">
        <w:rPr>
          <w:rFonts w:ascii="Times New Roman" w:hAnsi="Times New Roman" w:cs="Times New Roman"/>
          <w:i w:val="0"/>
          <w:iCs w:val="0"/>
          <w:color w:val="auto"/>
          <w:sz w:val="28"/>
          <w:szCs w:val="28"/>
        </w:rPr>
        <w:fldChar w:fldCharType="begin"/>
      </w:r>
      <w:r w:rsidRPr="00344159">
        <w:rPr>
          <w:rFonts w:ascii="Times New Roman" w:hAnsi="Times New Roman" w:cs="Times New Roman"/>
          <w:i w:val="0"/>
          <w:iCs w:val="0"/>
          <w:color w:val="auto"/>
          <w:sz w:val="28"/>
          <w:szCs w:val="28"/>
        </w:rPr>
        <w:instrText xml:space="preserve"> SEQ Figure \* ARABIC </w:instrText>
      </w:r>
      <w:r w:rsidRPr="00344159">
        <w:rPr>
          <w:rFonts w:ascii="Times New Roman" w:hAnsi="Times New Roman" w:cs="Times New Roman"/>
          <w:i w:val="0"/>
          <w:iCs w:val="0"/>
          <w:color w:val="auto"/>
          <w:sz w:val="28"/>
          <w:szCs w:val="28"/>
        </w:rPr>
        <w:fldChar w:fldCharType="separate"/>
      </w:r>
      <w:r w:rsidRPr="00344159">
        <w:rPr>
          <w:rFonts w:ascii="Times New Roman" w:hAnsi="Times New Roman" w:cs="Times New Roman"/>
          <w:i w:val="0"/>
          <w:iCs w:val="0"/>
          <w:noProof/>
          <w:color w:val="auto"/>
          <w:sz w:val="28"/>
          <w:szCs w:val="28"/>
        </w:rPr>
        <w:t>2</w:t>
      </w:r>
      <w:r w:rsidRPr="00344159">
        <w:rPr>
          <w:rFonts w:ascii="Times New Roman" w:hAnsi="Times New Roman" w:cs="Times New Roman"/>
          <w:i w:val="0"/>
          <w:iCs w:val="0"/>
          <w:color w:val="auto"/>
          <w:sz w:val="28"/>
          <w:szCs w:val="28"/>
        </w:rPr>
        <w:fldChar w:fldCharType="end"/>
      </w:r>
      <w:r w:rsidRPr="00344159">
        <w:rPr>
          <w:rFonts w:ascii="Times New Roman" w:hAnsi="Times New Roman" w:cs="Times New Roman"/>
          <w:i w:val="0"/>
          <w:iCs w:val="0"/>
          <w:color w:val="auto"/>
          <w:sz w:val="28"/>
          <w:szCs w:val="28"/>
        </w:rPr>
        <w:t xml:space="preserve"> Adsorption mass transfer steps.</w:t>
      </w:r>
    </w:p>
    <w:p w14:paraId="6978D2F4" w14:textId="7348B33F" w:rsidR="00984B6B" w:rsidRDefault="00984B6B" w:rsidP="00984B6B">
      <w:pPr>
        <w:rPr>
          <w:rFonts w:ascii="Times New Roman" w:hAnsi="Times New Roman" w:cs="Times New Roman"/>
          <w:sz w:val="24"/>
          <w:szCs w:val="24"/>
        </w:rPr>
      </w:pPr>
      <w:r w:rsidRPr="00344159">
        <w:rPr>
          <w:rFonts w:ascii="Times New Roman" w:hAnsi="Times New Roman" w:cs="Times New Roman"/>
          <w:sz w:val="24"/>
          <w:szCs w:val="24"/>
        </w:rPr>
        <w:t xml:space="preserve">Source from </w:t>
      </w:r>
      <w:r w:rsidRPr="00344159">
        <w:rPr>
          <w:rFonts w:ascii="Times New Roman" w:hAnsi="Times New Roman" w:cs="Times New Roman"/>
          <w:sz w:val="24"/>
          <w:szCs w:val="24"/>
        </w:rPr>
        <w:fldChar w:fldCharType="begin"/>
      </w:r>
      <w:r w:rsidR="00BF3710">
        <w:rPr>
          <w:rFonts w:ascii="Times New Roman" w:hAnsi="Times New Roman" w:cs="Times New Roman"/>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Pr="00344159">
        <w:rPr>
          <w:rFonts w:ascii="Times New Roman" w:hAnsi="Times New Roman" w:cs="Times New Roman"/>
          <w:sz w:val="24"/>
          <w:szCs w:val="24"/>
        </w:rPr>
        <w:fldChar w:fldCharType="separate"/>
      </w:r>
      <w:r w:rsidR="00344159" w:rsidRPr="00344159">
        <w:rPr>
          <w:rFonts w:ascii="Times New Roman" w:hAnsi="Times New Roman" w:cs="Times New Roman"/>
          <w:sz w:val="24"/>
          <w:szCs w:val="24"/>
        </w:rPr>
        <w:t>(Wang &amp; Guo, 2020)</w:t>
      </w:r>
      <w:r w:rsidRPr="00344159">
        <w:rPr>
          <w:rFonts w:ascii="Times New Roman" w:hAnsi="Times New Roman" w:cs="Times New Roman"/>
          <w:sz w:val="24"/>
          <w:szCs w:val="24"/>
        </w:rPr>
        <w:fldChar w:fldCharType="end"/>
      </w:r>
    </w:p>
    <w:p w14:paraId="2CDD5C35" w14:textId="277E4378" w:rsidR="0089411C" w:rsidRDefault="0089411C" w:rsidP="0089411C">
      <w:pPr>
        <w:rPr>
          <w:rFonts w:ascii="Times New Roman" w:hAnsi="Times New Roman" w:cs="Times New Roman"/>
          <w:sz w:val="24"/>
          <w:szCs w:val="24"/>
        </w:rPr>
      </w:pPr>
      <w:r w:rsidRPr="0089411C">
        <w:rPr>
          <w:rFonts w:ascii="Times New Roman" w:hAnsi="Times New Roman" w:cs="Times New Roman"/>
          <w:sz w:val="24"/>
          <w:szCs w:val="24"/>
        </w:rPr>
        <w:t xml:space="preserve">Various  adsorption kinetic  models,  such  as  the  pseudo-first-order (PFO) model  </w:t>
      </w:r>
      <w:r w:rsidR="00B14DD3">
        <w:rPr>
          <w:rFonts w:ascii="Times New Roman" w:hAnsi="Times New Roman" w:cs="Times New Roman"/>
          <w:sz w:val="24"/>
          <w:szCs w:val="24"/>
        </w:rPr>
        <w:fldChar w:fldCharType="begin"/>
      </w:r>
      <w:r w:rsidR="00B14DD3">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Pr>
          <w:rFonts w:ascii="Times New Roman" w:hAnsi="Times New Roman" w:cs="Times New Roman"/>
          <w:sz w:val="24"/>
          <w:szCs w:val="24"/>
        </w:rPr>
        <w:fldChar w:fldCharType="separate"/>
      </w:r>
      <w:r w:rsidR="00B14DD3" w:rsidRPr="00B14DD3">
        <w:rPr>
          <w:rFonts w:ascii="Times New Roman" w:hAnsi="Times New Roman" w:cs="Times New Roman"/>
          <w:sz w:val="24"/>
        </w:rPr>
        <w:t>(Lagergren, 1898)</w:t>
      </w:r>
      <w:r w:rsidR="00B14DD3">
        <w:rPr>
          <w:rFonts w:ascii="Times New Roman" w:hAnsi="Times New Roman" w:cs="Times New Roman"/>
          <w:sz w:val="24"/>
          <w:szCs w:val="24"/>
        </w:rPr>
        <w:fldChar w:fldCharType="end"/>
      </w:r>
      <w:r w:rsidRPr="0089411C">
        <w:rPr>
          <w:rFonts w:ascii="Times New Roman" w:hAnsi="Times New Roman" w:cs="Times New Roman"/>
          <w:sz w:val="24"/>
          <w:szCs w:val="24"/>
        </w:rPr>
        <w:t>, the pseudo-second-order (PSO) model</w:t>
      </w:r>
      <w:r w:rsidR="00584EBC">
        <w:rPr>
          <w:rFonts w:ascii="Times New Roman" w:hAnsi="Times New Roman" w:cs="Times New Roman"/>
          <w:sz w:val="24"/>
          <w:szCs w:val="24"/>
        </w:rPr>
        <w:fldChar w:fldCharType="begin"/>
      </w:r>
      <w:r w:rsidR="00C22D51">
        <w:rPr>
          <w:rFonts w:ascii="Times New Roman" w:hAnsi="Times New Roman" w:cs="Times New Roman"/>
          <w:sz w:val="24"/>
          <w:szCs w:val="24"/>
        </w:rPr>
        <w:instrText xml:space="preserve"> ADDIN ZOTERO_ITEM CSL_CITATION {"citationID":"bPL50Srx","properties":{"formattedCitation":"(Y.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Pr>
          <w:rFonts w:ascii="Times New Roman" w:hAnsi="Times New Roman" w:cs="Times New Roman"/>
          <w:sz w:val="24"/>
          <w:szCs w:val="24"/>
        </w:rPr>
        <w:fldChar w:fldCharType="separate"/>
      </w:r>
      <w:r w:rsidR="00C22D51" w:rsidRPr="00C22D51">
        <w:rPr>
          <w:rFonts w:ascii="Times New Roman" w:hAnsi="Times New Roman" w:cs="Times New Roman"/>
          <w:sz w:val="24"/>
        </w:rPr>
        <w:t>(Y. Ho Wase, DAJ &amp;. CF Forster, CF, 1996)</w:t>
      </w:r>
      <w:r w:rsidR="00584EBC">
        <w:rPr>
          <w:rFonts w:ascii="Times New Roman" w:hAnsi="Times New Roman" w:cs="Times New Roman"/>
          <w:sz w:val="24"/>
          <w:szCs w:val="24"/>
        </w:rPr>
        <w:fldChar w:fldCharType="end"/>
      </w:r>
      <w:r w:rsidRPr="0089411C">
        <w:rPr>
          <w:rFonts w:ascii="Times New Roman" w:hAnsi="Times New Roman" w:cs="Times New Roman"/>
          <w:sz w:val="24"/>
          <w:szCs w:val="24"/>
        </w:rPr>
        <w:t>, the mixed-order (MO) model</w:t>
      </w:r>
      <w:r w:rsidR="002E11C5">
        <w:rPr>
          <w:rFonts w:ascii="Times New Roman" w:hAnsi="Times New Roman" w:cs="Times New Roman"/>
          <w:sz w:val="24"/>
          <w:szCs w:val="24"/>
        </w:rPr>
        <w:t xml:space="preserve"> </w:t>
      </w:r>
      <w:r w:rsidR="002E11C5">
        <w:rPr>
          <w:rFonts w:ascii="Times New Roman" w:hAnsi="Times New Roman" w:cs="Times New Roman"/>
          <w:sz w:val="24"/>
          <w:szCs w:val="24"/>
        </w:rPr>
        <w:fldChar w:fldCharType="begin"/>
      </w:r>
      <w:r w:rsidR="00C41B3B">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Pr>
          <w:rFonts w:ascii="Times New Roman" w:hAnsi="Times New Roman" w:cs="Times New Roman"/>
          <w:sz w:val="24"/>
          <w:szCs w:val="24"/>
        </w:rPr>
        <w:fldChar w:fldCharType="separate"/>
      </w:r>
      <w:r w:rsidR="00C41B3B" w:rsidRPr="00C41B3B">
        <w:rPr>
          <w:rFonts w:ascii="Times New Roman" w:hAnsi="Times New Roman" w:cs="Times New Roman"/>
          <w:sz w:val="24"/>
        </w:rPr>
        <w:t>(Guo et al., 2019)</w:t>
      </w:r>
      <w:r w:rsidR="002E11C5">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Ritchie’s equation </w:t>
      </w:r>
      <w:r w:rsidR="007449FB">
        <w:rPr>
          <w:rFonts w:ascii="Times New Roman" w:hAnsi="Times New Roman" w:cs="Times New Roman"/>
          <w:sz w:val="24"/>
          <w:szCs w:val="24"/>
        </w:rPr>
        <w:fldChar w:fldCharType="begin"/>
      </w:r>
      <w:r w:rsidR="007449FB">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Pr>
          <w:rFonts w:ascii="Times New Roman" w:hAnsi="Times New Roman" w:cs="Times New Roman"/>
          <w:sz w:val="24"/>
          <w:szCs w:val="24"/>
        </w:rPr>
        <w:fldChar w:fldCharType="separate"/>
      </w:r>
      <w:r w:rsidR="007449FB" w:rsidRPr="007449FB">
        <w:rPr>
          <w:rFonts w:ascii="Times New Roman" w:hAnsi="Times New Roman" w:cs="Times New Roman"/>
          <w:sz w:val="24"/>
        </w:rPr>
        <w:t>(Ritchie, 1977)</w:t>
      </w:r>
      <w:r w:rsidR="007449FB">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Elovich model  </w:t>
      </w:r>
      <w:r w:rsidR="00A67E0E">
        <w:rPr>
          <w:rFonts w:ascii="Times New Roman" w:hAnsi="Times New Roman" w:cs="Times New Roman"/>
          <w:sz w:val="24"/>
          <w:szCs w:val="24"/>
        </w:rPr>
        <w:fldChar w:fldCharType="begin"/>
      </w:r>
      <w:r w:rsidR="00A67E0E">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Pr>
          <w:rFonts w:ascii="Times New Roman" w:hAnsi="Times New Roman" w:cs="Times New Roman"/>
          <w:sz w:val="24"/>
          <w:szCs w:val="24"/>
        </w:rPr>
        <w:fldChar w:fldCharType="separate"/>
      </w:r>
      <w:r w:rsidR="00A67E0E" w:rsidRPr="00A67E0E">
        <w:rPr>
          <w:rFonts w:ascii="Times New Roman" w:hAnsi="Times New Roman" w:cs="Times New Roman"/>
          <w:sz w:val="24"/>
        </w:rPr>
        <w:t>(Elovich &amp; Larinov, 1962)</w:t>
      </w:r>
      <w:r w:rsidR="00A67E0E">
        <w:rPr>
          <w:rFonts w:ascii="Times New Roman" w:hAnsi="Times New Roman" w:cs="Times New Roman"/>
          <w:sz w:val="24"/>
          <w:szCs w:val="24"/>
        </w:rPr>
        <w:fldChar w:fldCharType="end"/>
      </w:r>
      <w:r w:rsidRPr="0089411C">
        <w:rPr>
          <w:rFonts w:ascii="Times New Roman" w:hAnsi="Times New Roman" w:cs="Times New Roman"/>
          <w:sz w:val="24"/>
          <w:szCs w:val="24"/>
        </w:rPr>
        <w:t xml:space="preserve">,  and   the   phenomenological  mass   transfer  models </w:t>
      </w:r>
      <w:r w:rsidR="00317F10">
        <w:rPr>
          <w:rFonts w:ascii="Times New Roman" w:hAnsi="Times New Roman" w:cs="Times New Roman"/>
          <w:sz w:val="24"/>
          <w:szCs w:val="24"/>
        </w:rPr>
        <w:lastRenderedPageBreak/>
        <w:fldChar w:fldCharType="begin"/>
      </w:r>
      <w:r w:rsidR="00420D64">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Pr>
          <w:rFonts w:ascii="Times New Roman" w:hAnsi="Times New Roman" w:cs="Times New Roman"/>
          <w:sz w:val="24"/>
          <w:szCs w:val="24"/>
        </w:rPr>
        <w:fldChar w:fldCharType="separate"/>
      </w:r>
      <w:r w:rsidR="00420D64" w:rsidRPr="00420D64">
        <w:rPr>
          <w:rFonts w:ascii="Times New Roman" w:hAnsi="Times New Roman" w:cs="Times New Roman"/>
          <w:sz w:val="24"/>
        </w:rPr>
        <w:t>(Blanco et al., 2017; Marin et al., 2014)</w:t>
      </w:r>
      <w:r w:rsidR="00317F10">
        <w:rPr>
          <w:rFonts w:ascii="Times New Roman" w:hAnsi="Times New Roman" w:cs="Times New Roman"/>
          <w:sz w:val="24"/>
          <w:szCs w:val="24"/>
        </w:rPr>
        <w:fldChar w:fldCharType="end"/>
      </w:r>
      <w:r w:rsidRPr="0089411C">
        <w:rPr>
          <w:rFonts w:ascii="Times New Roman" w:hAnsi="Times New Roman" w:cs="Times New Roman"/>
          <w:sz w:val="24"/>
          <w:szCs w:val="24"/>
        </w:rPr>
        <w:t xml:space="preserve"> have  been  developed to  describe   the  ad- sorption kinetic  process.  However, some  problems are  existed  in  the applications of these  kinetic  models.  The first one is that  the  most  ap- plied  PFO and  PSO models  are  empirical models  and  lack  of specific physical  meanings. We cannot  investigate the  mass  transfer mechanisms by these  empirical kinetic  models.  Therefore, the  physical  meanings of the empirical kinetic  models  should  be established. The second one  is  that   the  differential kinetic   models,   such  as  the  phenomenological  external/internal and  adsorption in  active  sites  models  have specific  physical  meanings, but  the  solving  methods are  complicated.</w:t>
      </w:r>
    </w:p>
    <w:p w14:paraId="66910FB1" w14:textId="77777777" w:rsidR="002A012C" w:rsidRDefault="002A012C" w:rsidP="0089411C">
      <w:pPr>
        <w:rPr>
          <w:rFonts w:ascii="Times New Roman" w:hAnsi="Times New Roman" w:cs="Times New Roman"/>
          <w:sz w:val="24"/>
          <w:szCs w:val="24"/>
        </w:rPr>
      </w:pPr>
    </w:p>
    <w:p w14:paraId="105A367C" w14:textId="57A41C69" w:rsidR="00A25CB6" w:rsidRPr="00B943C5" w:rsidRDefault="00507DEC" w:rsidP="00A25CB6">
      <w:pPr>
        <w:pStyle w:val="Heading4"/>
        <w:rPr>
          <w:rFonts w:ascii="Times New Roman" w:hAnsi="Times New Roman" w:cs="Times New Roman"/>
          <w:i w:val="0"/>
          <w:iCs w:val="0"/>
          <w:sz w:val="24"/>
          <w:szCs w:val="24"/>
        </w:rPr>
      </w:pPr>
      <w:r>
        <w:rPr>
          <w:rFonts w:ascii="Times New Roman" w:hAnsi="Times New Roman" w:cs="Times New Roman"/>
          <w:i w:val="0"/>
          <w:iCs w:val="0"/>
          <w:sz w:val="24"/>
          <w:szCs w:val="24"/>
        </w:rPr>
        <w:t>2.3.1</w:t>
      </w:r>
      <w:r>
        <w:rPr>
          <w:rFonts w:ascii="Times New Roman" w:hAnsi="Times New Roman" w:cs="Times New Roman"/>
          <w:i w:val="0"/>
          <w:iCs w:val="0"/>
          <w:sz w:val="24"/>
          <w:szCs w:val="24"/>
        </w:rPr>
        <w:tab/>
      </w:r>
      <w:r w:rsidR="00A25CB6" w:rsidRPr="00B943C5">
        <w:rPr>
          <w:rFonts w:ascii="Times New Roman" w:hAnsi="Times New Roman" w:cs="Times New Roman"/>
          <w:i w:val="0"/>
          <w:iCs w:val="0"/>
          <w:sz w:val="24"/>
          <w:szCs w:val="24"/>
        </w:rPr>
        <w:t>Pseudo-first-order (PFO) model</w:t>
      </w:r>
    </w:p>
    <w:p w14:paraId="75A3016B" w14:textId="77777777" w:rsidR="002C4A48" w:rsidRDefault="004B0AA9" w:rsidP="004B0AA9">
      <w:r w:rsidRPr="00B943C5">
        <w:t>The PFO model was firstly proposed by Lagergren (1898). The differential</w:t>
      </w:r>
      <w:r w:rsidRPr="00B943C5">
        <w:t xml:space="preserve"> </w:t>
      </w:r>
      <w:r w:rsidRPr="00B943C5">
        <w:t>form of the PFO model is described by Eq. (1)</w:t>
      </w:r>
      <w:r w:rsidR="002A012C" w:rsidRPr="00B943C5">
        <w:t xml:space="preserve"> </w:t>
      </w:r>
      <w:r w:rsidR="002A012C" w:rsidRPr="00B943C5">
        <w:fldChar w:fldCharType="begin"/>
      </w:r>
      <w:r w:rsidR="002A012C" w:rsidRPr="00B943C5">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rsidRPr="00B943C5">
        <w:fldChar w:fldCharType="separate"/>
      </w:r>
      <w:r w:rsidR="002A012C" w:rsidRPr="00B943C5">
        <w:rPr>
          <w:rFonts w:ascii="Calibri" w:hAnsi="Calibri" w:cs="Calibri"/>
        </w:rPr>
        <w:t>(Lagergren, 1898)</w:t>
      </w:r>
      <w:r w:rsidR="002A012C" w:rsidRPr="00B943C5">
        <w:fldChar w:fldCharType="end"/>
      </w:r>
    </w:p>
    <w:p w14:paraId="1AE26131" w14:textId="0FE203C0" w:rsidR="00AE6AB0" w:rsidRPr="002C4A48" w:rsidRDefault="00AE6AB0" w:rsidP="004B0AA9">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r>
      <w:r w:rsidR="002C4A48">
        <w:rPr>
          <w:rFonts w:eastAsiaTheme="minorEastAsia"/>
        </w:rPr>
        <w:tab/>
        <w:t>(1)</w:t>
      </w:r>
    </w:p>
    <w:p w14:paraId="5C3CB495" w14:textId="33BE36D7" w:rsidR="002A012C" w:rsidRDefault="006710E1" w:rsidP="004B0AA9">
      <w:r>
        <w:t>The linearized form of the PFO model is presented as follows</w:t>
      </w:r>
    </w:p>
    <w:p w14:paraId="54D57477" w14:textId="4131ADCC" w:rsidR="00CA38A0" w:rsidRDefault="00D307C2" w:rsidP="004B0AA9">
      <w:pPr>
        <w:rPr>
          <w:rFonts w:eastAsiaTheme="minorEastAsia"/>
        </w:rPr>
      </w:pPr>
      <m:oMath>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=In</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oMath>
      <w:r w:rsidR="00B943C5">
        <w:rPr>
          <w:rFonts w:eastAsiaTheme="minorEastAsia"/>
        </w:rPr>
        <w:tab/>
      </w:r>
      <w:r w:rsidR="00B943C5">
        <w:rPr>
          <w:rFonts w:eastAsiaTheme="minorEastAsia"/>
        </w:rPr>
        <w:tab/>
      </w:r>
      <w:r w:rsidR="00B943C5">
        <w:rPr>
          <w:rFonts w:eastAsiaTheme="minorEastAsia"/>
        </w:rPr>
        <w:tab/>
      </w:r>
      <w:r w:rsidR="00B943C5">
        <w:rPr>
          <w:rFonts w:eastAsiaTheme="minorEastAsia"/>
        </w:rPr>
        <w:tab/>
      </w:r>
      <w:r w:rsidR="00B943C5">
        <w:rPr>
          <w:rFonts w:eastAsiaTheme="minorEastAsia"/>
        </w:rPr>
        <w:tab/>
      </w:r>
      <w:r w:rsidR="00B943C5">
        <w:rPr>
          <w:rFonts w:eastAsiaTheme="minorEastAsia"/>
        </w:rPr>
        <w:tab/>
      </w:r>
      <w:r w:rsidR="00B943C5">
        <w:rPr>
          <w:rFonts w:eastAsiaTheme="minorEastAsia"/>
        </w:rPr>
        <w:tab/>
      </w:r>
      <w:r w:rsidR="00B943C5">
        <w:rPr>
          <w:rFonts w:eastAsiaTheme="minorEastAsia"/>
        </w:rPr>
        <w:tab/>
        <w:t>(2)</w:t>
      </w:r>
    </w:p>
    <w:p w14:paraId="09BF81FF" w14:textId="2D025CAE" w:rsidR="002C158E" w:rsidRDefault="00CA38A0" w:rsidP="002C158E">
      <w:pPr>
        <w:rPr>
          <w:rFonts w:eastAsiaTheme="minorEastAsia"/>
        </w:rPr>
      </w:pPr>
      <w:r>
        <w:rPr>
          <w:rFonts w:eastAsiaTheme="minorEastAsia"/>
        </w:rPr>
        <w:t xml:space="preserve">The above equation has been frequently used to fit the </w:t>
      </w:r>
      <w:r w:rsidR="002C158E" w:rsidRPr="002C158E">
        <w:rPr>
          <w:rFonts w:eastAsiaTheme="minorEastAsia"/>
        </w:rPr>
        <w:t xml:space="preserve">kinetics  data  and  to calculate the parameters </w:t>
      </w:r>
      <w:r w:rsidR="002C158E" w:rsidRPr="002C158E">
        <w:rPr>
          <w:rFonts w:eastAsiaTheme="minorEastAsia"/>
          <w:i/>
          <w:iCs/>
        </w:rPr>
        <w:t>q</w:t>
      </w:r>
      <w:r w:rsidR="002C158E" w:rsidRPr="002C158E">
        <w:rPr>
          <w:rFonts w:eastAsiaTheme="minorEastAsia"/>
        </w:rPr>
        <w:t xml:space="preserve">e  and  </w:t>
      </w:r>
      <w:r w:rsidR="002C158E" w:rsidRPr="002C158E">
        <w:rPr>
          <w:rFonts w:eastAsiaTheme="minorEastAsia"/>
          <w:i/>
          <w:iCs/>
        </w:rPr>
        <w:t>k</w:t>
      </w:r>
      <w:r w:rsidR="002C158E" w:rsidRPr="002C158E">
        <w:rPr>
          <w:rFonts w:eastAsiaTheme="minorEastAsia"/>
        </w:rPr>
        <w:t>1, by plotting ln(</w:t>
      </w:r>
      <w:r w:rsidR="002C158E" w:rsidRPr="002C158E">
        <w:rPr>
          <w:rFonts w:eastAsiaTheme="minorEastAsia"/>
          <w:i/>
          <w:iCs/>
        </w:rPr>
        <w:t>q</w:t>
      </w:r>
      <w:r w:rsidR="002C158E" w:rsidRPr="002C158E">
        <w:rPr>
          <w:rFonts w:eastAsiaTheme="minorEastAsia"/>
        </w:rPr>
        <w:t>e-</w:t>
      </w:r>
      <w:r w:rsidR="002C158E" w:rsidRPr="002C158E">
        <w:rPr>
          <w:rFonts w:eastAsiaTheme="minorEastAsia"/>
          <w:i/>
          <w:iCs/>
        </w:rPr>
        <w:t>q</w:t>
      </w:r>
      <w:r w:rsidR="002C158E" w:rsidRPr="002C158E">
        <w:rPr>
          <w:rFonts w:eastAsiaTheme="minorEastAsia"/>
        </w:rPr>
        <w:t xml:space="preserve">t)  vs. </w:t>
      </w:r>
      <w:r w:rsidR="002C158E" w:rsidRPr="002C158E">
        <w:rPr>
          <w:rFonts w:eastAsiaTheme="minorEastAsia"/>
          <w:i/>
          <w:iCs/>
        </w:rPr>
        <w:t xml:space="preserve">t </w:t>
      </w:r>
      <w:r w:rsidR="00703E83">
        <w:rPr>
          <w:rFonts w:eastAsiaTheme="minorEastAsia"/>
          <w:i/>
          <w:iCs/>
        </w:rPr>
        <w:fldChar w:fldCharType="begin"/>
      </w:r>
      <w:r w:rsidR="00BF09A1">
        <w:rPr>
          <w:rFonts w:eastAsiaTheme="minorEastAsia"/>
          <w:i/>
          <w:iCs/>
        </w:rPr>
        <w:instrText xml:space="preserve"> ADDIN ZOTERO_ITEM CSL_CITATION {"citationID":"Z60fQNUX","properties":{"formattedCitation":"(Ersan et al., 2019; Ma et al., 2018)","plainCitation":"(Ersan et al., 2019; Ma et al., 2018)","noteIndex":0},"citationItems":[{"id":263,"uris":["http://zotero.org/users/13196811/items/Z6MWELY9"],"itemData":{"id":263,"type":"article-journal","container-title":"Chemosphere","journalAbbreviation":"Chemosphere","page":"514-524","title":"Adsorption kinetics and aggregation for three classes of carbonaceous adsorbents in the presence of natural organic matter","volume":"229","author":[{"family":"Ersan","given":"G."},{"family":"Kaya","given":"Y."},{"family":"Ersan","given":"M.S."},{"family":"Apul","given":"O.G."},{"family":"Karanfil","given":"T."}],"issued":{"date-parts":[["2019"]]}}},{"id":261,"uris":["http://zotero.org/users/13196811/items/VNJ9KG3U"],"itemData":{"id":261,"type":"article-journal","container-title":"Chem. Eng. J.","journalAbbreviation":"Chem. Eng. J.","page":"556-565","title":"A highly efficient magnetic chitosan “fluid” adsorbent with a high capacity and fast adsorption kinetics for dyeing wastewater purification","volume":"345","author":[{"family":"Ma","given":"H."},{"family":"Pu","given":"S."},{"family":"Hou","given":"Y."},{"family":"Zhou","given":"R."},{"family":"Zinchenko","given":"A."},{"family":"Chei","given":"W."}],"issued":{"date-parts":[["2018"]]}}}],"schema":"https://github.com/citation-style-language/schema/raw/master/csl-citation.json"} </w:instrText>
      </w:r>
      <w:r w:rsidR="00703E83">
        <w:rPr>
          <w:rFonts w:eastAsiaTheme="minorEastAsia"/>
          <w:i/>
          <w:iCs/>
        </w:rPr>
        <w:fldChar w:fldCharType="separate"/>
      </w:r>
      <w:r w:rsidR="00BF09A1" w:rsidRPr="00BF09A1">
        <w:rPr>
          <w:rFonts w:ascii="Calibri" w:hAnsi="Calibri" w:cs="Calibri"/>
        </w:rPr>
        <w:t>(Ersan et al., 2019; Ma et al., 2018)</w:t>
      </w:r>
      <w:r w:rsidR="00703E83">
        <w:rPr>
          <w:rFonts w:eastAsiaTheme="minorEastAsia"/>
          <w:i/>
          <w:iCs/>
        </w:rPr>
        <w:fldChar w:fldCharType="end"/>
      </w:r>
      <w:r w:rsidR="00C51D48">
        <w:rPr>
          <w:rFonts w:eastAsiaTheme="minorEastAsia"/>
          <w:i/>
          <w:iCs/>
        </w:rPr>
        <w:t xml:space="preserve">. </w:t>
      </w:r>
      <w:r w:rsidR="00C51D48" w:rsidRPr="00C51D48">
        <w:rPr>
          <w:rFonts w:eastAsiaTheme="minorEastAsia"/>
        </w:rPr>
        <w:t xml:space="preserve">However, the linearization process  may  cause  inaccurate  estimations of  the  </w:t>
      </w:r>
      <w:r w:rsidR="00C51D48" w:rsidRPr="009F796B">
        <w:rPr>
          <w:rFonts w:eastAsiaTheme="minorEastAsia"/>
        </w:rPr>
        <w:t>par</w:t>
      </w:r>
      <w:r w:rsidR="00DA6E76" w:rsidRPr="009F796B">
        <w:rPr>
          <w:rFonts w:eastAsiaTheme="minorEastAsia"/>
        </w:rPr>
        <w:t>a</w:t>
      </w:r>
      <w:r w:rsidR="00C51D48" w:rsidRPr="009F796B">
        <w:rPr>
          <w:rFonts w:eastAsiaTheme="minorEastAsia"/>
        </w:rPr>
        <w:t xml:space="preserve">meters  </w:t>
      </w:r>
      <w:r w:rsidR="009B2EB9" w:rsidRPr="009F796B">
        <w:rPr>
          <w:rFonts w:eastAsiaTheme="minorEastAsia"/>
        </w:rPr>
        <w:fldChar w:fldCharType="begin"/>
      </w:r>
      <w:r w:rsidR="009F796B" w:rsidRPr="009F796B">
        <w:rPr>
          <w:rFonts w:eastAsiaTheme="minorEastAsia"/>
        </w:rPr>
        <w:instrText xml:space="preserve"> ADDIN ZOTERO_ITEM CSL_CITATION {"citationID":"sCaudXYO","properties":{"formattedCitation":"(El-Khaiary et al., 2010, 2010; K. V. Kumar &amp; Sivanesan, 2006)","plainCitation":"(El-Khaiary et al., 2010, 2010; K. V. Kumar &amp; Sivanesan,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267,"uris":["http://zotero.org/users/13196811/items/BGMIXGJW"],"itemData":{"id":267,"type":"article-journal","container-title":"J. Hazard. Mater.","page":"721-726","title":"Pseudo second order kinetic and pseudo isotherms for malachite green onto activated carbon: comparison of linear and non–linear regression methods","volume":"136","author":[{"family":"Kumar","given":"K.V."},{"family":"Sivanesan","given":"S."}],"issued":{"date-parts":[["2006"]]}}}],"schema":"https://github.com/citation-style-language/schema/raw/master/csl-citation.json"} </w:instrText>
      </w:r>
      <w:r w:rsidR="009B2EB9" w:rsidRPr="009F796B">
        <w:rPr>
          <w:rFonts w:eastAsiaTheme="minorEastAsia"/>
        </w:rPr>
        <w:fldChar w:fldCharType="separate"/>
      </w:r>
      <w:r w:rsidR="009F796B" w:rsidRPr="009F796B">
        <w:rPr>
          <w:rFonts w:ascii="Calibri" w:hAnsi="Calibri" w:cs="Calibri"/>
        </w:rPr>
        <w:t>(El-Khaiary et al., 2010, 2010; K. V. Kumar &amp; Sivanesan, 2006)</w:t>
      </w:r>
      <w:r w:rsidR="009B2EB9" w:rsidRPr="009F796B">
        <w:rPr>
          <w:rFonts w:eastAsiaTheme="minorEastAsia"/>
        </w:rPr>
        <w:fldChar w:fldCharType="end"/>
      </w:r>
      <w:r w:rsidR="000C4ADA">
        <w:rPr>
          <w:rFonts w:eastAsiaTheme="minorEastAsia"/>
        </w:rPr>
        <w:t xml:space="preserve">. The nonlinear method which can provide accurate estimations for model parameters, is provided </w:t>
      </w:r>
      <w:r w:rsidR="00006A13">
        <w:rPr>
          <w:rFonts w:eastAsiaTheme="minorEastAsia"/>
        </w:rPr>
        <w:t>in the following section.</w:t>
      </w:r>
    </w:p>
    <w:p w14:paraId="3B042D80" w14:textId="51459AF1" w:rsidR="0018028A" w:rsidRDefault="0018028A" w:rsidP="0018028A">
      <w:pPr>
        <w:rPr>
          <w:rFonts w:eastAsiaTheme="minorEastAsia"/>
        </w:rPr>
      </w:pPr>
      <w:r w:rsidRPr="0018028A">
        <w:rPr>
          <w:rFonts w:eastAsiaTheme="minorEastAsia"/>
        </w:rPr>
        <w:t xml:space="preserve">The  PFO parameter </w:t>
      </w:r>
      <w:r w:rsidRPr="0018028A">
        <w:rPr>
          <w:rFonts w:eastAsiaTheme="minorEastAsia"/>
          <w:i/>
          <w:iCs/>
        </w:rPr>
        <w:t>q</w:t>
      </w:r>
      <w:r w:rsidRPr="0018028A">
        <w:rPr>
          <w:rFonts w:eastAsiaTheme="minorEastAsia"/>
        </w:rPr>
        <w:t xml:space="preserve">e  is the  equilibrium adsorption amount estimated  by the PFO model. </w:t>
      </w:r>
      <w:r w:rsidR="00911500">
        <w:rPr>
          <w:rFonts w:eastAsiaTheme="minorEastAsia"/>
        </w:rPr>
        <w:fldChar w:fldCharType="begin"/>
      </w:r>
      <w:r w:rsidR="009B2EB9">
        <w:rPr>
          <w:rFonts w:eastAsiaTheme="minorEastAsia"/>
        </w:rPr>
        <w:instrText xml:space="preserve"> ADDIN ZOTERO_ITEM CSL_CITATION {"citationID":"pYMiyKWB","properties":{"formattedCitation":"(Rodrigues &amp; Silva, 2016)","plainCitation":"(Rodrigues &amp; Silva, 2016)","noteIndex":0},"citationItems":[{"id":264,"uris":["http://zotero.org/users/13196811/items/GHQQ9BDE"],"itemData":{"id":264,"type":"article-journal","container-title":"Chem. Eng. J.","page":"1139-1142","title":"What’s wrong with Lagergreen pseudo first order model for adsorption kinetics?","volume":"306","author":[{"family":"Rodrigues","given":"A.E."},{"family":"Silva","given":"C.M."}],"issued":{"date-parts":[["2016"]]}}}],"schema":"https://github.com/citation-style-language/schema/raw/master/csl-citation.json"} </w:instrText>
      </w:r>
      <w:r w:rsidR="00911500">
        <w:rPr>
          <w:rFonts w:eastAsiaTheme="minorEastAsia"/>
        </w:rPr>
        <w:fldChar w:fldCharType="separate"/>
      </w:r>
      <w:r w:rsidR="009B2EB9" w:rsidRPr="009B2EB9">
        <w:rPr>
          <w:rFonts w:ascii="Calibri" w:hAnsi="Calibri" w:cs="Calibri"/>
        </w:rPr>
        <w:t>(Rodrigues &amp; Silva, 2016)</w:t>
      </w:r>
      <w:r w:rsidR="00911500">
        <w:rPr>
          <w:rFonts w:eastAsiaTheme="minorEastAsia"/>
        </w:rPr>
        <w:fldChar w:fldCharType="end"/>
      </w:r>
      <w:r w:rsidR="009B2EB9">
        <w:rPr>
          <w:rFonts w:eastAsiaTheme="minorEastAsia"/>
        </w:rPr>
        <w:t xml:space="preserve"> </w:t>
      </w:r>
      <w:r w:rsidRPr="0018028A">
        <w:rPr>
          <w:rFonts w:eastAsiaTheme="minorEastAsia"/>
        </w:rPr>
        <w:t>reported that  the PFO  model   was  theoretically  consistent  and   equaled  to  the   linear driving  force (LDF) model,  when  the  adsorption isotherm could  be re- presented by the  linear  model  (Eq. (</w:t>
      </w:r>
      <w:r>
        <w:rPr>
          <w:rFonts w:eastAsiaTheme="minorEastAsia"/>
        </w:rPr>
        <w:t>3</w:t>
      </w:r>
      <w:r w:rsidRPr="0018028A">
        <w:rPr>
          <w:rFonts w:eastAsiaTheme="minorEastAsia"/>
        </w:rPr>
        <w:t>)).</w:t>
      </w:r>
    </w:p>
    <w:p w14:paraId="78799EED" w14:textId="6763390E" w:rsidR="0018028A" w:rsidRDefault="0018028A" w:rsidP="001802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oMath>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r>
      <w:r w:rsidR="002D71F9">
        <w:rPr>
          <w:rFonts w:eastAsiaTheme="minorEastAsia"/>
        </w:rPr>
        <w:tab/>
        <w:t>(3)</w:t>
      </w:r>
    </w:p>
    <w:p w14:paraId="324CB212" w14:textId="57FCCFCB" w:rsidR="00EA172A" w:rsidRDefault="002D71F9" w:rsidP="00EA172A">
      <w:pPr>
        <w:rPr>
          <w:rFonts w:eastAsiaTheme="minorEastAsia"/>
        </w:rPr>
      </w:pPr>
      <w:r w:rsidRPr="002D71F9">
        <w:rPr>
          <w:rFonts w:eastAsiaTheme="minorEastAsia"/>
        </w:rPr>
        <w:t xml:space="preserve">The PFO parameter </w:t>
      </w:r>
      <w:r w:rsidRPr="002D71F9">
        <w:rPr>
          <w:rFonts w:eastAsiaTheme="minorEastAsia"/>
          <w:i/>
          <w:iCs/>
        </w:rPr>
        <w:t>k</w:t>
      </w:r>
      <w:r w:rsidRPr="002D71F9">
        <w:rPr>
          <w:rFonts w:eastAsiaTheme="minorEastAsia"/>
          <w:vertAlign w:val="subscript"/>
        </w:rPr>
        <w:t>1</w:t>
      </w:r>
      <w:r w:rsidRPr="002D71F9">
        <w:rPr>
          <w:rFonts w:eastAsiaTheme="minorEastAsia"/>
        </w:rPr>
        <w:t xml:space="preserve">  is frequently used  to describe  how  fast  the adsorption equilibrium is achieved </w:t>
      </w:r>
      <w:r w:rsidR="00911500">
        <w:rPr>
          <w:rFonts w:eastAsiaTheme="minorEastAsia"/>
        </w:rPr>
        <w:fldChar w:fldCharType="begin"/>
      </w:r>
      <w:r w:rsidR="00911500">
        <w:rPr>
          <w:rFonts w:eastAsiaTheme="minorEastAsia"/>
        </w:rPr>
        <w:instrText xml:space="preserve"> ADDIN ZOTERO_ITEM CSL_CITATION {"citationID":"RurNbQ46","properties":{"formattedCitation":"(Plazinski et al., 2009)","plainCitation":"(Plazinski et al., 2009)","noteIndex":0},"citationItems":[{"id":268,"uris":["http://zotero.org/users/13196811/items/UEBQ2UEQ"],"itemData":{"id":268,"type":"article-journal","container-title":"Adv. Colloid Interface Sci.","page":"2-13","title":"Theoretical models of sorption kinetics including a surface reaction mechanism: a review","volume":"152","author":[{"family":"Plazinski","given":"W."},{"family":"Rudzinski","given":"W."},{"family":"Plazinska","given":"A."}],"issued":{"date-parts":[["2009"]]}}}],"schema":"https://github.com/citation-style-language/schema/raw/master/csl-citation.json"} </w:instrText>
      </w:r>
      <w:r w:rsidR="00911500">
        <w:rPr>
          <w:rFonts w:eastAsiaTheme="minorEastAsia"/>
        </w:rPr>
        <w:fldChar w:fldCharType="separate"/>
      </w:r>
      <w:r w:rsidR="00911500" w:rsidRPr="00911500">
        <w:rPr>
          <w:rFonts w:ascii="Calibri" w:hAnsi="Calibri" w:cs="Calibri"/>
        </w:rPr>
        <w:t>(Plazinski et al., 2009)</w:t>
      </w:r>
      <w:r w:rsidR="00911500">
        <w:rPr>
          <w:rFonts w:eastAsiaTheme="minorEastAsia"/>
        </w:rPr>
        <w:fldChar w:fldCharType="end"/>
      </w:r>
      <w:r w:rsidR="00911500">
        <w:rPr>
          <w:rFonts w:eastAsiaTheme="minorEastAsia"/>
        </w:rPr>
        <w:t>.</w:t>
      </w:r>
      <w:r w:rsidR="006C0E08">
        <w:rPr>
          <w:rFonts w:eastAsiaTheme="minorEastAsia"/>
        </w:rPr>
        <w:t xml:space="preserve"> However, as </w:t>
      </w:r>
      <w:r w:rsidR="00EA172A" w:rsidRPr="00EA172A">
        <w:rPr>
          <w:rFonts w:eastAsiaTheme="minorEastAsia"/>
        </w:rPr>
        <w:t>shown in Eq. (1), the adsorption rate d</w:t>
      </w:r>
      <w:r w:rsidR="00EA172A" w:rsidRPr="00EA172A">
        <w:rPr>
          <w:rFonts w:eastAsiaTheme="minorEastAsia"/>
          <w:i/>
          <w:iCs/>
        </w:rPr>
        <w:t>q</w:t>
      </w:r>
      <w:r w:rsidR="00EA172A" w:rsidRPr="00EA172A">
        <w:rPr>
          <w:rFonts w:eastAsiaTheme="minorEastAsia"/>
        </w:rPr>
        <w:t>t/d</w:t>
      </w:r>
      <w:r w:rsidR="00EA172A" w:rsidRPr="00EA172A">
        <w:rPr>
          <w:rFonts w:eastAsiaTheme="minorEastAsia"/>
          <w:i/>
          <w:iCs/>
        </w:rPr>
        <w:t xml:space="preserve">t </w:t>
      </w:r>
      <w:r w:rsidR="00EA172A" w:rsidRPr="00EA172A">
        <w:rPr>
          <w:rFonts w:eastAsiaTheme="minorEastAsia"/>
        </w:rPr>
        <w:t xml:space="preserve">is related to both </w:t>
      </w:r>
      <w:r w:rsidR="00EA172A" w:rsidRPr="00EA172A">
        <w:rPr>
          <w:rFonts w:eastAsiaTheme="minorEastAsia"/>
          <w:i/>
          <w:iCs/>
        </w:rPr>
        <w:t>k</w:t>
      </w:r>
      <w:r w:rsidR="00EA172A" w:rsidRPr="00EA172A">
        <w:rPr>
          <w:rFonts w:eastAsiaTheme="minorEastAsia"/>
        </w:rPr>
        <w:t>1 and (</w:t>
      </w:r>
      <w:r w:rsidR="00EA172A" w:rsidRPr="00EA172A">
        <w:rPr>
          <w:rFonts w:eastAsiaTheme="minorEastAsia"/>
          <w:i/>
          <w:iCs/>
        </w:rPr>
        <w:t>q</w:t>
      </w:r>
      <w:r w:rsidR="00EA172A" w:rsidRPr="00EA172A">
        <w:rPr>
          <w:rFonts w:eastAsiaTheme="minorEastAsia"/>
        </w:rPr>
        <w:t xml:space="preserve">e- </w:t>
      </w:r>
      <w:r w:rsidR="00EA172A" w:rsidRPr="00EA172A">
        <w:rPr>
          <w:rFonts w:eastAsiaTheme="minorEastAsia"/>
          <w:i/>
          <w:iCs/>
        </w:rPr>
        <w:t>q</w:t>
      </w:r>
      <w:r w:rsidR="00EA172A" w:rsidRPr="00EA172A">
        <w:rPr>
          <w:rFonts w:eastAsiaTheme="minorEastAsia"/>
        </w:rPr>
        <w:t xml:space="preserve">t). Small value of </w:t>
      </w:r>
      <w:r w:rsidR="00EA172A" w:rsidRPr="00EA172A">
        <w:rPr>
          <w:rFonts w:eastAsiaTheme="minorEastAsia"/>
          <w:i/>
          <w:iCs/>
        </w:rPr>
        <w:t>k</w:t>
      </w:r>
      <w:r w:rsidR="00EA172A" w:rsidRPr="00EA172A">
        <w:rPr>
          <w:rFonts w:eastAsiaTheme="minorEastAsia"/>
        </w:rPr>
        <w:t>1 and  big value  of (</w:t>
      </w:r>
      <w:r w:rsidR="00EA172A" w:rsidRPr="00EA172A">
        <w:rPr>
          <w:rFonts w:eastAsiaTheme="minorEastAsia"/>
          <w:i/>
          <w:iCs/>
        </w:rPr>
        <w:t>q</w:t>
      </w:r>
      <w:r w:rsidR="00EA172A" w:rsidRPr="00EA172A">
        <w:rPr>
          <w:rFonts w:eastAsiaTheme="minorEastAsia"/>
        </w:rPr>
        <w:t>e-</w:t>
      </w:r>
      <w:r w:rsidR="00EA172A" w:rsidRPr="00EA172A">
        <w:rPr>
          <w:rFonts w:eastAsiaTheme="minorEastAsia"/>
          <w:i/>
          <w:iCs/>
        </w:rPr>
        <w:t>q</w:t>
      </w:r>
      <w:r w:rsidR="00EA172A" w:rsidRPr="00EA172A">
        <w:rPr>
          <w:rFonts w:eastAsiaTheme="minorEastAsia"/>
        </w:rPr>
        <w:t>t) could  be obtained when the adsorption is slow. Therefore, it is more precise to calculate the PFO rate  by Eq. (</w:t>
      </w:r>
      <w:r w:rsidR="003A1D95">
        <w:rPr>
          <w:rFonts w:eastAsiaTheme="minorEastAsia"/>
        </w:rPr>
        <w:t>4</w:t>
      </w:r>
      <w:r w:rsidR="00EA172A" w:rsidRPr="00EA172A">
        <w:rPr>
          <w:rFonts w:eastAsiaTheme="minorEastAsia"/>
        </w:rPr>
        <w:t xml:space="preserve">), instead of describing the adsorption rate  by comparing the  values  of </w:t>
      </w:r>
      <w:r w:rsidR="00EA172A" w:rsidRPr="00EA172A">
        <w:rPr>
          <w:rFonts w:eastAsiaTheme="minorEastAsia"/>
          <w:i/>
          <w:iCs/>
        </w:rPr>
        <w:t>k</w:t>
      </w:r>
      <w:r w:rsidR="00EA172A" w:rsidRPr="00EA172A">
        <w:rPr>
          <w:rFonts w:eastAsiaTheme="minorEastAsia"/>
        </w:rPr>
        <w:t>1.</w:t>
      </w:r>
    </w:p>
    <w:p w14:paraId="48BE122D" w14:textId="1B089FAD" w:rsidR="00765913" w:rsidRPr="00765913" w:rsidRDefault="00765913" w:rsidP="00EA172A">
      <w:pPr>
        <w:rPr>
          <w:rFonts w:eastAsiaTheme="minorEastAsia"/>
        </w:rPr>
      </w:pPr>
      <w:r>
        <w:rPr>
          <w:rFonts w:eastAsiaTheme="minorEastAsia"/>
        </w:rPr>
        <w:t>PFO rate = K</w:t>
      </w:r>
      <w:r>
        <w:rPr>
          <w:rFonts w:eastAsiaTheme="minorEastAsia"/>
          <w:vertAlign w:val="subscript"/>
        </w:rPr>
        <w:t>1</w:t>
      </w:r>
      <w:r>
        <w:rPr>
          <w:rFonts w:eastAsiaTheme="minorEastAsia"/>
        </w:rPr>
        <w:t>(q</w:t>
      </w:r>
      <w:r>
        <w:rPr>
          <w:rFonts w:eastAsiaTheme="minorEastAsia"/>
          <w:vertAlign w:val="subscript"/>
        </w:rPr>
        <w:t>e</w:t>
      </w:r>
      <w:r>
        <w:rPr>
          <w:rFonts w:eastAsiaTheme="minorEastAsia"/>
        </w:rPr>
        <w:t xml:space="preserve"> – q</w:t>
      </w:r>
      <w:r>
        <w:rPr>
          <w:rFonts w:eastAsiaTheme="minorEastAsia"/>
          <w:vertAlign w:val="subscript"/>
        </w:rPr>
        <w:t>t</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14:paraId="47433A31" w14:textId="43581E8D" w:rsidR="0018028A" w:rsidRDefault="0018028A" w:rsidP="002C158E">
      <w:pPr>
        <w:rPr>
          <w:rFonts w:eastAsiaTheme="minorEastAsia"/>
        </w:rPr>
      </w:pPr>
    </w:p>
    <w:p w14:paraId="4AB36BB8" w14:textId="77777777" w:rsidR="006C0E08" w:rsidRDefault="006C0E08" w:rsidP="002C158E">
      <w:pPr>
        <w:rPr>
          <w:rFonts w:eastAsiaTheme="minorEastAsia"/>
        </w:rPr>
      </w:pPr>
    </w:p>
    <w:p w14:paraId="760FEE5B" w14:textId="26246F3F" w:rsidR="007B7C07" w:rsidRDefault="007B7C07" w:rsidP="007B7C07">
      <w:pPr>
        <w:pStyle w:val="Heading3"/>
        <w:rPr>
          <w:rFonts w:eastAsiaTheme="minorEastAsia"/>
        </w:rPr>
      </w:pPr>
      <w:r>
        <w:rPr>
          <w:rFonts w:eastAsiaTheme="minorEastAsia"/>
        </w:rPr>
        <w:t>2.3.2</w:t>
      </w:r>
      <w:r>
        <w:rPr>
          <w:rFonts w:eastAsiaTheme="minorEastAsia"/>
        </w:rPr>
        <w:tab/>
      </w:r>
      <w:r w:rsidRPr="007B7C07">
        <w:rPr>
          <w:rFonts w:eastAsiaTheme="minorEastAsia"/>
        </w:rPr>
        <w:t>.  Pseudo-second-order (PSO) model</w:t>
      </w:r>
    </w:p>
    <w:p w14:paraId="58B25741" w14:textId="6B2E49CF" w:rsidR="0077640F" w:rsidRPr="0077640F" w:rsidRDefault="0077640F" w:rsidP="0077640F">
      <w:r w:rsidRPr="0077640F">
        <w:t>The PSO model  Eq. (</w:t>
      </w:r>
      <w:r w:rsidR="001E3718">
        <w:t>4</w:t>
      </w:r>
      <w:r w:rsidRPr="0077640F">
        <w:t xml:space="preserve">)  was firstly  applied to model  the  adsorption of lead onto peat </w:t>
      </w:r>
      <w:r w:rsidR="008C53A9">
        <w:fldChar w:fldCharType="begin"/>
      </w:r>
      <w:r w:rsidR="00E052F3">
        <w:instrText xml:space="preserve"> ADDIN ZOTERO_ITEM CSL_CITATION {"citationID":"duTagTOi","properties":{"formattedCitation":"(Y.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8C53A9">
        <w:fldChar w:fldCharType="separate"/>
      </w:r>
      <w:r w:rsidR="00E052F3" w:rsidRPr="00E052F3">
        <w:rPr>
          <w:rFonts w:ascii="Calibri" w:hAnsi="Calibri" w:cs="Calibri"/>
        </w:rPr>
        <w:t>(Y. Ho Wase, DAJ &amp;. CF Forster, CF, 1996)</w:t>
      </w:r>
      <w:r w:rsidR="008C53A9">
        <w:fldChar w:fldCharType="end"/>
      </w:r>
      <w:r w:rsidRPr="0077640F">
        <w:t xml:space="preserve">. Then the PSO model was widely adopted to describe the adsorption processes.  </w:t>
      </w:r>
      <w:r w:rsidRPr="0077640F">
        <w:lastRenderedPageBreak/>
        <w:t>Most  published papers used the PSO model  to predict the adsorption experimental data  and to calculate the  adsorption rate  constants.</w:t>
      </w:r>
    </w:p>
    <w:p w14:paraId="65F7B1DA" w14:textId="68751B91" w:rsidR="007B7C07" w:rsidRPr="001E3718" w:rsidRDefault="0077640F" w:rsidP="007B7C07">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w:bookmarkStart w:id="2" w:name="_Hlk163225715"/>
        <w:bookmarkStart w:id="3" w:name="_Hlk163227821"/>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(q</m:t>
            </m:r>
          </m:e>
          <m:sub>
            <m:r>
              <w:rPr>
                <w:rFonts w:ascii="Cambria Math" w:hAnsi="Cambria Math"/>
              </w:rPr>
              <m:t>e</m:t>
            </m:r>
          </m:sub>
        </m:sSub>
        <w:bookmarkEnd w:id="2"/>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m:t>
            </m:r>
          </m:sub>
        </m:sSub>
      </m:oMath>
      <w:r w:rsidR="00905ED1">
        <w:rPr>
          <w:rFonts w:eastAsiaTheme="minorEastAsia"/>
        </w:rPr>
        <w:t>)</w:t>
      </w:r>
      <w:bookmarkEnd w:id="3"/>
      <w:r w:rsidR="001E3718">
        <w:rPr>
          <w:rFonts w:eastAsiaTheme="minorEastAsia"/>
          <w:vertAlign w:val="superscript"/>
        </w:rPr>
        <w:t>2</w:t>
      </w:r>
      <w:r w:rsidR="001E3718">
        <w:rPr>
          <w:rFonts w:eastAsiaTheme="minorEastAsia"/>
          <w:vertAlign w:val="superscript"/>
        </w:rPr>
        <w:tab/>
      </w:r>
      <w:r w:rsidR="001E3718">
        <w:rPr>
          <w:rFonts w:eastAsiaTheme="minorEastAsia"/>
        </w:rPr>
        <w:tab/>
      </w:r>
      <w:r w:rsidR="001E3718">
        <w:rPr>
          <w:rFonts w:eastAsiaTheme="minorEastAsia"/>
        </w:rPr>
        <w:tab/>
      </w:r>
      <w:r w:rsidR="001E3718">
        <w:rPr>
          <w:rFonts w:eastAsiaTheme="minorEastAsia"/>
        </w:rPr>
        <w:tab/>
      </w:r>
      <w:r w:rsidR="001E3718">
        <w:rPr>
          <w:rFonts w:eastAsiaTheme="minorEastAsia"/>
        </w:rPr>
        <w:tab/>
      </w:r>
      <w:r w:rsidR="001E3718">
        <w:rPr>
          <w:rFonts w:eastAsiaTheme="minorEastAsia"/>
        </w:rPr>
        <w:tab/>
      </w:r>
      <w:r w:rsidR="001E3718">
        <w:rPr>
          <w:rFonts w:eastAsiaTheme="minorEastAsia"/>
        </w:rPr>
        <w:tab/>
      </w:r>
      <w:r w:rsidR="001E3718">
        <w:rPr>
          <w:rFonts w:eastAsiaTheme="minorEastAsia"/>
        </w:rPr>
        <w:tab/>
      </w:r>
      <w:r w:rsidR="001E3718">
        <w:rPr>
          <w:rFonts w:eastAsiaTheme="minorEastAsia"/>
        </w:rPr>
        <w:tab/>
        <w:t>(4)</w:t>
      </w:r>
    </w:p>
    <w:p w14:paraId="2ADF405A" w14:textId="77777777" w:rsidR="001E3718" w:rsidRPr="001E3718" w:rsidRDefault="001E3718" w:rsidP="001E3718">
      <w:pPr>
        <w:rPr>
          <w:rFonts w:eastAsiaTheme="minorEastAsia"/>
        </w:rPr>
      </w:pPr>
      <w:r w:rsidRPr="001E3718">
        <w:rPr>
          <w:rFonts w:eastAsiaTheme="minorEastAsia"/>
        </w:rPr>
        <w:t>The integrated PSO model  is described as following:</w:t>
      </w:r>
    </w:p>
    <w:p w14:paraId="1BB139F3" w14:textId="57F45746" w:rsidR="003C41A6" w:rsidRDefault="000A03E0" w:rsidP="00984B6B">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r>
      <w:r w:rsidR="00C16975">
        <w:rPr>
          <w:rFonts w:ascii="Times New Roman" w:eastAsiaTheme="minorEastAsia" w:hAnsi="Times New Roman" w:cs="Times New Roman"/>
          <w:sz w:val="24"/>
          <w:szCs w:val="24"/>
        </w:rPr>
        <w:tab/>
        <w:t>(5)</w:t>
      </w:r>
    </w:p>
    <w:p w14:paraId="44CA45CB" w14:textId="2EE2619E" w:rsidR="00333708" w:rsidRPr="00333708" w:rsidRDefault="00333708" w:rsidP="00333708">
      <w:pPr>
        <w:rPr>
          <w:rFonts w:ascii="Times New Roman" w:hAnsi="Times New Roman" w:cs="Times New Roman"/>
          <w:sz w:val="24"/>
          <w:szCs w:val="24"/>
        </w:rPr>
      </w:pPr>
      <w:r w:rsidRPr="00333708">
        <w:rPr>
          <w:rFonts w:ascii="Times New Roman" w:hAnsi="Times New Roman" w:cs="Times New Roman"/>
          <w:sz w:val="24"/>
          <w:szCs w:val="24"/>
        </w:rPr>
        <w:t>In  order   to  calculate the  model   parameters, the  nonlinear PSO</w:t>
      </w:r>
      <w:r>
        <w:rPr>
          <w:rFonts w:ascii="Times New Roman" w:hAnsi="Times New Roman" w:cs="Times New Roman"/>
          <w:sz w:val="24"/>
          <w:szCs w:val="24"/>
        </w:rPr>
        <w:t xml:space="preserve"> </w:t>
      </w:r>
      <w:r w:rsidRPr="00333708">
        <w:rPr>
          <w:rFonts w:ascii="Times New Roman" w:hAnsi="Times New Roman" w:cs="Times New Roman"/>
          <w:sz w:val="24"/>
          <w:szCs w:val="24"/>
        </w:rPr>
        <w:t>model  is always  transformed to the  linear  form Eq. (</w:t>
      </w:r>
      <w:r>
        <w:rPr>
          <w:rFonts w:ascii="Times New Roman" w:hAnsi="Times New Roman" w:cs="Times New Roman"/>
          <w:sz w:val="24"/>
          <w:szCs w:val="24"/>
        </w:rPr>
        <w:t>6</w:t>
      </w:r>
      <w:r w:rsidRPr="00333708">
        <w:rPr>
          <w:rFonts w:ascii="Times New Roman" w:hAnsi="Times New Roman" w:cs="Times New Roman"/>
          <w:sz w:val="24"/>
          <w:szCs w:val="24"/>
        </w:rPr>
        <w:t>).</w:t>
      </w:r>
    </w:p>
    <w:p w14:paraId="44A63D37" w14:textId="2757FADD" w:rsidR="00C16975" w:rsidRDefault="00333708" w:rsidP="00984B6B">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oMath>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r>
      <w:r w:rsidR="00E644B1">
        <w:rPr>
          <w:rFonts w:ascii="Times New Roman" w:eastAsiaTheme="minorEastAsia" w:hAnsi="Times New Roman" w:cs="Times New Roman"/>
          <w:sz w:val="24"/>
          <w:szCs w:val="24"/>
        </w:rPr>
        <w:tab/>
        <w:t>(6)</w:t>
      </w:r>
    </w:p>
    <w:p w14:paraId="2AE982EB" w14:textId="77777777" w:rsidR="00E644B1" w:rsidRDefault="00E644B1" w:rsidP="00984B6B">
      <w:pPr>
        <w:rPr>
          <w:rFonts w:ascii="Times New Roman" w:eastAsiaTheme="minorEastAsia" w:hAnsi="Times New Roman" w:cs="Times New Roman"/>
          <w:sz w:val="24"/>
          <w:szCs w:val="24"/>
        </w:rPr>
      </w:pPr>
    </w:p>
    <w:p w14:paraId="48FF2027" w14:textId="2215C8EF" w:rsidR="00C22D51" w:rsidRDefault="00CC4A05" w:rsidP="00C22D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linearization of the PSO model changes the weight of q</w:t>
      </w:r>
      <w:r>
        <w:rPr>
          <w:rFonts w:ascii="Times New Roman" w:eastAsiaTheme="minorEastAsia" w:hAnsi="Times New Roman" w:cs="Times New Roman"/>
          <w:sz w:val="24"/>
          <w:szCs w:val="24"/>
          <w:vertAlign w:val="subscript"/>
        </w:rPr>
        <w:t xml:space="preserve">t </w:t>
      </w:r>
      <w:r>
        <w:rPr>
          <w:rFonts w:ascii="Times New Roman" w:eastAsiaTheme="minorEastAsia" w:hAnsi="Times New Roman" w:cs="Times New Roman"/>
          <w:sz w:val="24"/>
          <w:szCs w:val="24"/>
        </w:rPr>
        <w:t xml:space="preserve"> and </w:t>
      </w:r>
      <w:r w:rsidR="00E36ABD">
        <w:rPr>
          <w:rFonts w:ascii="Times New Roman" w:eastAsiaTheme="minorEastAsia" w:hAnsi="Times New Roman" w:cs="Times New Roman"/>
          <w:sz w:val="24"/>
          <w:szCs w:val="24"/>
        </w:rPr>
        <w:t xml:space="preserve">introduces propagated errors, which to the inaccurate calculations of the model parameters </w:t>
      </w:r>
      <w:r w:rsidR="00E36ABD">
        <w:rPr>
          <w:rFonts w:ascii="Times New Roman" w:eastAsiaTheme="minorEastAsia" w:hAnsi="Times New Roman" w:cs="Times New Roman"/>
          <w:sz w:val="24"/>
          <w:szCs w:val="24"/>
        </w:rPr>
        <w:fldChar w:fldCharType="begin"/>
      </w:r>
      <w:r w:rsidR="00C22D51">
        <w:rPr>
          <w:rFonts w:ascii="Times New Roman" w:eastAsiaTheme="minorEastAsia" w:hAnsi="Times New Roman" w:cs="Times New Roman"/>
          <w:sz w:val="24"/>
          <w:szCs w:val="24"/>
        </w:rPr>
        <w:instrText xml:space="preserve"> ADDIN ZOTERO_ITEM CSL_CITATION {"citationID":"jXfes67m","properties":{"formattedCitation":"(El-Khaiary et al., 2010; Y. S. Ho, 2006)","plainCitation":"(El-Khaiary et al., 2010; Y. S. Ho,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266,"uris":["http://zotero.org/users/13196811/items/HIUV3VHF"],"itemData":{"id":266,"type":"article-journal","container-title":"Pol. J. Environ. Stud.","page":"81-86","title":"Isotherms for the sorption of lead onto peat: comparison of linear and non-linear methods","volume":"15","author":[{"family":"Ho","given":"Y.S."}],"issued":{"date-parts":[["2006"]]}}}],"schema":"https://github.com/citation-style-language/schema/raw/master/csl-citation.json"} </w:instrText>
      </w:r>
      <w:r w:rsidR="00E36ABD">
        <w:rPr>
          <w:rFonts w:ascii="Times New Roman" w:eastAsiaTheme="minorEastAsia" w:hAnsi="Times New Roman" w:cs="Times New Roman"/>
          <w:sz w:val="24"/>
          <w:szCs w:val="24"/>
        </w:rPr>
        <w:fldChar w:fldCharType="separate"/>
      </w:r>
      <w:r w:rsidR="00C22D51" w:rsidRPr="00C22D51">
        <w:rPr>
          <w:rFonts w:ascii="Times New Roman" w:hAnsi="Times New Roman" w:cs="Times New Roman"/>
          <w:sz w:val="24"/>
        </w:rPr>
        <w:t>(El-Khaiary et al., 2010; Y. S. Ho, 2006)</w:t>
      </w:r>
      <w:r w:rsidR="00E36ABD">
        <w:rPr>
          <w:rFonts w:ascii="Times New Roman" w:eastAsiaTheme="minorEastAsia" w:hAnsi="Times New Roman" w:cs="Times New Roman"/>
          <w:sz w:val="24"/>
          <w:szCs w:val="24"/>
        </w:rPr>
        <w:fldChar w:fldCharType="end"/>
      </w:r>
      <w:r w:rsidR="00C22D51">
        <w:rPr>
          <w:rFonts w:ascii="Times New Roman" w:eastAsiaTheme="minorEastAsia" w:hAnsi="Times New Roman" w:cs="Times New Roman"/>
          <w:sz w:val="24"/>
          <w:szCs w:val="24"/>
        </w:rPr>
        <w:t xml:space="preserve">. </w:t>
      </w:r>
      <w:r w:rsidR="00C22D51" w:rsidRPr="00C22D51">
        <w:rPr>
          <w:rFonts w:ascii="Times New Roman" w:eastAsiaTheme="minorEastAsia" w:hAnsi="Times New Roman" w:cs="Times New Roman"/>
          <w:sz w:val="24"/>
          <w:szCs w:val="24"/>
        </w:rPr>
        <w:t xml:space="preserve">and Sivanesan, 2006; Guo and Wang, 2019c). </w:t>
      </w:r>
    </w:p>
    <w:p w14:paraId="3262284A" w14:textId="4204E509" w:rsidR="00E644B1" w:rsidRDefault="00437E79" w:rsidP="00437E79">
      <w:pPr>
        <w:pStyle w:val="Heading3"/>
      </w:pPr>
      <w:r>
        <w:t>2.3.3</w:t>
      </w:r>
      <w:r>
        <w:tab/>
      </w:r>
      <w:r w:rsidRPr="00437E79">
        <w:t>Mixed-order (MO)  model</w:t>
      </w:r>
    </w:p>
    <w:p w14:paraId="58BCF774" w14:textId="267E87E6" w:rsidR="00437E79" w:rsidRDefault="000218CE" w:rsidP="00437E79">
      <w:r>
        <w:t xml:space="preserve">The mixed-order (MO) model has the following form </w:t>
      </w:r>
      <w:r w:rsidR="007A3209">
        <w:fldChar w:fldCharType="begin"/>
      </w:r>
      <w:r w:rsidR="007A3209">
        <w:instrText xml:space="preserve"> ADDIN ZOTERO_ITEM CSL_CITATION {"citationID":"4JKlug1b","properties":{"formattedCitation":"(Guo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7A3209">
        <w:fldChar w:fldCharType="separate"/>
      </w:r>
      <w:r w:rsidR="007A3209" w:rsidRPr="007A3209">
        <w:rPr>
          <w:rFonts w:ascii="Calibri" w:hAnsi="Calibri" w:cs="Calibri"/>
        </w:rPr>
        <w:t>(Guo &amp; Wang, 2019)</w:t>
      </w:r>
      <w:r w:rsidR="007A3209">
        <w:fldChar w:fldCharType="end"/>
      </w:r>
      <w:r w:rsidR="007A3209">
        <w:t>:</w:t>
      </w:r>
    </w:p>
    <w:p w14:paraId="5C5E2B7C" w14:textId="4AF684C8" w:rsidR="007A3209" w:rsidRDefault="007A3209" w:rsidP="00437E79">
      <w:pPr>
        <w:rPr>
          <w:rFonts w:ascii="Cambria Math" w:hAnsi="Cambria Math"/>
          <w:iCs/>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oMath>
      <w:r w:rsidR="00C50EE2" w:rsidRPr="00C50EE2">
        <w:rPr>
          <w:rFonts w:ascii="Cambria Math" w:hAnsi="Cambria Math"/>
          <w:iCs/>
        </w:rPr>
        <w:t>)</w:t>
      </w:r>
      <w:r w:rsidR="00C50EE2" w:rsidRPr="00C50EE2">
        <w:rPr>
          <w:rFonts w:ascii="Cambria Math" w:hAnsi="Cambria Math"/>
          <w:iCs/>
        </w:rPr>
        <w:t xml:space="preserve"> + </w:t>
      </w:r>
      <m:oMath>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oMath>
      <w:r w:rsidR="00C50EE2" w:rsidRPr="00C50EE2">
        <w:rPr>
          <w:rFonts w:ascii="Cambria Math" w:hAnsi="Cambria Math"/>
          <w:iCs/>
        </w:rPr>
        <w:t>)</w:t>
      </w:r>
      <w:r w:rsidR="00C50EE2" w:rsidRPr="00C50EE2">
        <w:rPr>
          <w:rFonts w:ascii="Cambria Math" w:hAnsi="Cambria Math"/>
          <w:iCs/>
          <w:vertAlign w:val="superscript"/>
        </w:rPr>
        <w:t>2</w:t>
      </w:r>
      <w:r w:rsidR="00C50EE2">
        <w:rPr>
          <w:rFonts w:ascii="Cambria Math" w:hAnsi="Cambria Math"/>
          <w:iCs/>
          <w:vertAlign w:val="superscript"/>
        </w:rPr>
        <w:tab/>
      </w:r>
      <w:r w:rsidR="00C50EE2">
        <w:rPr>
          <w:rFonts w:ascii="Cambria Math" w:hAnsi="Cambria Math"/>
          <w:iCs/>
          <w:vertAlign w:val="superscript"/>
        </w:rPr>
        <w:tab/>
      </w:r>
      <w:r w:rsidR="00C50EE2">
        <w:rPr>
          <w:rFonts w:ascii="Cambria Math" w:hAnsi="Cambria Math"/>
          <w:iCs/>
          <w:vertAlign w:val="superscript"/>
        </w:rPr>
        <w:tab/>
      </w:r>
      <w:r w:rsidR="00C50EE2">
        <w:rPr>
          <w:rFonts w:ascii="Cambria Math" w:hAnsi="Cambria Math"/>
          <w:iCs/>
          <w:vertAlign w:val="superscript"/>
        </w:rPr>
        <w:tab/>
      </w:r>
      <w:r w:rsidR="003C7652">
        <w:rPr>
          <w:rFonts w:ascii="Cambria Math" w:hAnsi="Cambria Math"/>
          <w:iCs/>
          <w:vertAlign w:val="subscript"/>
        </w:rPr>
        <w:tab/>
      </w:r>
      <w:r w:rsidR="003C7652">
        <w:rPr>
          <w:rFonts w:ascii="Cambria Math" w:hAnsi="Cambria Math"/>
          <w:iCs/>
          <w:vertAlign w:val="subscript"/>
        </w:rPr>
        <w:tab/>
      </w:r>
      <w:r w:rsidR="003C7652">
        <w:rPr>
          <w:rFonts w:ascii="Cambria Math" w:hAnsi="Cambria Math"/>
          <w:iCs/>
          <w:vertAlign w:val="subscript"/>
        </w:rPr>
        <w:tab/>
      </w:r>
      <w:r w:rsidR="003C7652">
        <w:rPr>
          <w:rFonts w:ascii="Cambria Math" w:hAnsi="Cambria Math"/>
          <w:iCs/>
        </w:rPr>
        <w:t>(7)</w:t>
      </w:r>
    </w:p>
    <w:p w14:paraId="514A925D" w14:textId="1B6E828B" w:rsidR="003C7652" w:rsidRDefault="003C7652" w:rsidP="00437E79">
      <w:r w:rsidRPr="003C7652">
        <w:t>The PFO and PSO rate of the MO model can be calculated by Eq</w:t>
      </w:r>
      <w:r>
        <w:t>uation (8) and (9)</w:t>
      </w:r>
    </w:p>
    <w:p w14:paraId="0D6A87AB" w14:textId="69A54AB5" w:rsidR="003C7652" w:rsidRDefault="00BA178F" w:rsidP="00437E79">
      <w:r>
        <w:t xml:space="preserve">PFO rate =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(q</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BA178F">
        <w:t>)</w:t>
      </w:r>
      <w:r>
        <w:tab/>
      </w:r>
      <w:r>
        <w:tab/>
      </w:r>
      <w:r>
        <w:tab/>
      </w:r>
      <w:r>
        <w:tab/>
      </w:r>
      <w:r>
        <w:tab/>
      </w:r>
      <w:r>
        <w:tab/>
      </w:r>
      <w:r>
        <w:tab/>
      </w:r>
      <w:r>
        <w:tab/>
      </w:r>
      <w:r>
        <w:tab/>
        <w:t>(8)</w:t>
      </w:r>
    </w:p>
    <w:p w14:paraId="2584FC75" w14:textId="57AFDD8E" w:rsidR="00BA178F" w:rsidRPr="00E37978" w:rsidRDefault="00BA178F" w:rsidP="00437E79">
      <w:r>
        <w:t xml:space="preserve">PFO rate =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(q</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BA178F">
        <w:t>)</w:t>
      </w:r>
      <w:r w:rsidR="00E37978">
        <w:rPr>
          <w:vertAlign w:val="superscript"/>
        </w:rPr>
        <w:t>2</w:t>
      </w:r>
      <w:r w:rsidR="00E37978">
        <w:tab/>
      </w:r>
      <w:r w:rsidR="00E37978">
        <w:tab/>
      </w:r>
      <w:r w:rsidR="00E37978">
        <w:tab/>
      </w:r>
      <w:r w:rsidR="00E37978">
        <w:tab/>
      </w:r>
      <w:r w:rsidR="00E37978">
        <w:tab/>
      </w:r>
      <w:r w:rsidR="00E37978">
        <w:tab/>
      </w:r>
      <w:r w:rsidR="00E37978">
        <w:tab/>
      </w:r>
      <w:r w:rsidR="00E37978">
        <w:tab/>
        <w:t>(9)</w:t>
      </w:r>
    </w:p>
    <w:p w14:paraId="6D7D00C1" w14:textId="5CB5ADD7" w:rsidR="00437E79" w:rsidRDefault="00E37978" w:rsidP="00437E79">
      <w:r w:rsidRPr="00E37978">
        <w:t>In most cases, the PFO rate and PSO rate describe the diffusion step</w:t>
      </w:r>
      <w:r>
        <w:t xml:space="preserve"> </w:t>
      </w:r>
      <w:r w:rsidRPr="00E37978">
        <w:t>and the step of adsorption on active  sites, respectively</w:t>
      </w:r>
      <w:r w:rsidR="00EB4EAF">
        <w:t xml:space="preserve"> </w:t>
      </w:r>
      <w:r w:rsidR="00EB4EAF">
        <w:fldChar w:fldCharType="begin"/>
      </w:r>
      <w:r w:rsidR="00EB4EAF">
        <w:instrText xml:space="preserve"> ADDIN ZOTERO_ITEM CSL_CITATION {"citationID":"DkErE1oE","properties":{"formattedCitation":"(Guo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B4EAF">
        <w:fldChar w:fldCharType="separate"/>
      </w:r>
      <w:r w:rsidR="00EB4EAF" w:rsidRPr="00EB4EAF">
        <w:rPr>
          <w:rFonts w:ascii="Calibri" w:hAnsi="Calibri" w:cs="Calibri"/>
        </w:rPr>
        <w:t>(Guo &amp; Wang, 2019)</w:t>
      </w:r>
      <w:r w:rsidR="00EB4EAF">
        <w:fldChar w:fldCharType="end"/>
      </w:r>
      <w:r w:rsidR="00EB4EAF">
        <w:t xml:space="preserve">. </w:t>
      </w:r>
      <w:r w:rsidR="00EB4EAF" w:rsidRPr="00EB4EAF">
        <w:t>2019a). In addition, the  MO model  represents the  overall  adsorption process.   The  following   conditions satisfy  the  assumption of  the  MO model: (1) arbitrary stage of the adsorption; (2) the rate controlling step is the  diffusion  or  the  adsorption; and  (3)  arbitrary initial  adsorbate concentration in solution</w:t>
      </w:r>
      <w:r w:rsidR="00E42D74">
        <w:t xml:space="preserve"> </w:t>
      </w:r>
      <w:r w:rsidR="00E42D74">
        <w:fldChar w:fldCharType="begin"/>
      </w:r>
      <w:r w:rsidR="00E42D74">
        <w:instrText xml:space="preserve"> ADDIN ZOTERO_ITEM CSL_CITATION {"citationID":"nBEOnKjW","properties":{"formattedCitation":"(Guo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42D74">
        <w:fldChar w:fldCharType="separate"/>
      </w:r>
      <w:r w:rsidR="00E42D74" w:rsidRPr="00E42D74">
        <w:rPr>
          <w:rFonts w:ascii="Calibri" w:hAnsi="Calibri" w:cs="Calibri"/>
        </w:rPr>
        <w:t>(Guo &amp; Wang, 2019)</w:t>
      </w:r>
      <w:r w:rsidR="00E42D74">
        <w:fldChar w:fldCharType="end"/>
      </w:r>
      <w:r w:rsidR="00E42D74">
        <w:t>.</w:t>
      </w:r>
    </w:p>
    <w:p w14:paraId="320A1442" w14:textId="77777777" w:rsidR="00F866AB" w:rsidRDefault="00F866AB" w:rsidP="00437E79"/>
    <w:tbl>
      <w:tblPr>
        <w:tblStyle w:val="PlainTable4"/>
        <w:tblW w:w="0" w:type="auto"/>
        <w:tblLook w:val="04A0" w:firstRow="1" w:lastRow="0" w:firstColumn="1" w:lastColumn="0" w:noHBand="0" w:noVBand="1"/>
      </w:tblPr>
      <w:tblGrid>
        <w:gridCol w:w="1525"/>
        <w:gridCol w:w="4708"/>
        <w:gridCol w:w="3117"/>
      </w:tblGrid>
      <w:tr w:rsidR="00F866AB" w14:paraId="2CAD3694" w14:textId="77777777" w:rsidTr="00C83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0276A40" w14:textId="6DB869D9" w:rsidR="00F866AB" w:rsidRDefault="00F866AB" w:rsidP="00437E79">
            <w:r>
              <w:t>Model</w:t>
            </w:r>
          </w:p>
        </w:tc>
        <w:tc>
          <w:tcPr>
            <w:tcW w:w="4708" w:type="dxa"/>
          </w:tcPr>
          <w:p w14:paraId="7323E719" w14:textId="4813792E" w:rsidR="00F866AB" w:rsidRDefault="00F866AB" w:rsidP="00437E79">
            <w:pPr>
              <w:cnfStyle w:val="100000000000" w:firstRow="1" w:lastRow="0" w:firstColumn="0" w:lastColumn="0" w:oddVBand="0" w:evenVBand="0" w:oddHBand="0" w:evenHBand="0" w:firstRowFirstColumn="0" w:firstRowLastColumn="0" w:lastRowFirstColumn="0" w:lastRowLastColumn="0"/>
            </w:pPr>
            <w:r>
              <w:t>Differential equation</w:t>
            </w:r>
          </w:p>
        </w:tc>
        <w:tc>
          <w:tcPr>
            <w:tcW w:w="3117" w:type="dxa"/>
          </w:tcPr>
          <w:p w14:paraId="43659FB8" w14:textId="042C3DA5" w:rsidR="00F866AB" w:rsidRDefault="00F866AB" w:rsidP="00437E79">
            <w:pPr>
              <w:cnfStyle w:val="100000000000" w:firstRow="1" w:lastRow="0" w:firstColumn="0" w:lastColumn="0" w:oddVBand="0" w:evenVBand="0" w:oddHBand="0" w:evenHBand="0" w:firstRowFirstColumn="0" w:firstRowLastColumn="0" w:lastRowFirstColumn="0" w:lastRowLastColumn="0"/>
            </w:pPr>
            <w:r>
              <w:t xml:space="preserve">integrations </w:t>
            </w:r>
            <w:r w:rsidR="00C83A71">
              <w:t xml:space="preserve">form or nonlinear form </w:t>
            </w:r>
          </w:p>
        </w:tc>
      </w:tr>
      <w:tr w:rsidR="00F866AB" w14:paraId="5F150B84" w14:textId="77777777" w:rsidTr="00C83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13925A" w14:textId="2BEE49BC" w:rsidR="00F866AB" w:rsidRDefault="00C83A71" w:rsidP="00437E79">
            <w:r>
              <w:t>PFO Model</w:t>
            </w:r>
          </w:p>
        </w:tc>
        <w:tc>
          <w:tcPr>
            <w:tcW w:w="4708" w:type="dxa"/>
          </w:tcPr>
          <w:p w14:paraId="65E23E37" w14:textId="09240931" w:rsidR="00F866AB" w:rsidRDefault="00FC11DD" w:rsidP="00437E79">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Pr="00FC11DD">
              <w:tab/>
            </w:r>
          </w:p>
        </w:tc>
        <w:tc>
          <w:tcPr>
            <w:tcW w:w="3117" w:type="dxa"/>
          </w:tcPr>
          <w:p w14:paraId="3379B4AC" w14:textId="285034F5" w:rsidR="00F866AB" w:rsidRDefault="008C1733" w:rsidP="00437E79">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sup>
                </m:sSup>
                <m:r>
                  <w:rPr>
                    <w:rFonts w:ascii="Cambria Math" w:hAnsi="Cambria Math"/>
                  </w:rPr>
                  <m:t>)</m:t>
                </m:r>
              </m:oMath>
            </m:oMathPara>
          </w:p>
        </w:tc>
      </w:tr>
      <w:tr w:rsidR="00F866AB" w14:paraId="2D6AFEE2" w14:textId="77777777" w:rsidTr="00C83A71">
        <w:tc>
          <w:tcPr>
            <w:cnfStyle w:val="001000000000" w:firstRow="0" w:lastRow="0" w:firstColumn="1" w:lastColumn="0" w:oddVBand="0" w:evenVBand="0" w:oddHBand="0" w:evenHBand="0" w:firstRowFirstColumn="0" w:firstRowLastColumn="0" w:lastRowFirstColumn="0" w:lastRowLastColumn="0"/>
            <w:tcW w:w="1525" w:type="dxa"/>
          </w:tcPr>
          <w:p w14:paraId="4567A969" w14:textId="74F0FC1D" w:rsidR="00F866AB" w:rsidRDefault="00C83A71" w:rsidP="00437E79">
            <w:r>
              <w:t>PSO Model</w:t>
            </w:r>
          </w:p>
        </w:tc>
        <w:tc>
          <w:tcPr>
            <w:tcW w:w="4708" w:type="dxa"/>
          </w:tcPr>
          <w:p w14:paraId="34DAEE8C" w14:textId="22AA0E6A" w:rsidR="00F866AB" w:rsidRDefault="00FC11DD" w:rsidP="00437E79">
            <w:pPr>
              <w:cnfStyle w:val="000000000000" w:firstRow="0" w:lastRow="0" w:firstColumn="0" w:lastColumn="0" w:oddVBand="0" w:evenVBand="0" w:oddHBand="0" w:evenHBand="0" w:firstRowFirstColumn="0" w:firstRowLastColumn="0" w:lastRowFirstColumn="0" w:lastRowLastColumn="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(q</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FC11DD">
              <w:t>)</w:t>
            </w:r>
            <w:r w:rsidRPr="00FC11DD">
              <w:rPr>
                <w:vertAlign w:val="superscript"/>
              </w:rPr>
              <w:t>2</w:t>
            </w:r>
            <w:r w:rsidRPr="00FC11DD">
              <w:rPr>
                <w:vertAlign w:val="superscript"/>
              </w:rPr>
              <w:tab/>
            </w:r>
          </w:p>
        </w:tc>
        <w:tc>
          <w:tcPr>
            <w:tcW w:w="3117" w:type="dxa"/>
          </w:tcPr>
          <w:p w14:paraId="4DFE3CB0" w14:textId="3B600452" w:rsidR="00F866AB" w:rsidRDefault="00FC11DD" w:rsidP="00437E79">
            <w:pPr>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num>
                <m:den>
                  <m:r>
                    <w:rPr>
                      <w:rFonts w:ascii="Cambria Math" w:hAnsi="Cambria Math"/>
                    </w:rPr>
                    <m:t xml:space="preserve">1+ </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oMath>
            <w:r w:rsidRPr="00FC11DD">
              <w:tab/>
            </w:r>
            <w:r w:rsidRPr="00FC11DD">
              <w:tab/>
            </w:r>
          </w:p>
        </w:tc>
      </w:tr>
      <w:tr w:rsidR="00C83A71" w14:paraId="0D2E1408" w14:textId="77777777" w:rsidTr="00C83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CA9E40" w14:textId="4EC3C9E9" w:rsidR="00C83A71" w:rsidRDefault="00C83A71" w:rsidP="00437E79">
            <w:r>
              <w:t xml:space="preserve">MO Model </w:t>
            </w:r>
          </w:p>
        </w:tc>
        <w:tc>
          <w:tcPr>
            <w:tcW w:w="4708" w:type="dxa"/>
          </w:tcPr>
          <w:p w14:paraId="7125E15A" w14:textId="0C1F174D" w:rsidR="00C83A71" w:rsidRDefault="00C83A71" w:rsidP="00437E79">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dt</m:t>
                  </m:r>
                </m:den>
              </m:f>
              <m:r>
                <w:rPr>
                  <w:rFonts w:ascii="Cambria Math" w:hAnsi="Cambria Math"/>
                </w:rPr>
                <m:t>=</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oMath>
            <w:r w:rsidRPr="00C83A71">
              <w:rPr>
                <w:iCs/>
              </w:rPr>
              <w:t xml:space="preserve">) + </w:t>
            </w:r>
            <m:oMath>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oMath>
            <w:r w:rsidRPr="00C83A71">
              <w:rPr>
                <w:iCs/>
              </w:rPr>
              <w:t>)</w:t>
            </w:r>
            <w:r w:rsidRPr="00C83A71">
              <w:rPr>
                <w:iCs/>
                <w:vertAlign w:val="superscript"/>
              </w:rPr>
              <w:t>2</w:t>
            </w:r>
          </w:p>
        </w:tc>
        <w:tc>
          <w:tcPr>
            <w:tcW w:w="3117" w:type="dxa"/>
          </w:tcPr>
          <w:p w14:paraId="55432D4F" w14:textId="1100B476" w:rsidR="00C83A71" w:rsidRDefault="00C83A71" w:rsidP="00437E79">
            <w:pPr>
              <w:cnfStyle w:val="000000100000" w:firstRow="0" w:lastRow="0" w:firstColumn="0" w:lastColumn="0" w:oddVBand="0" w:evenVBand="0" w:oddHBand="1" w:evenHBand="0" w:firstRowFirstColumn="0" w:firstRowLastColumn="0" w:lastRowFirstColumn="0" w:lastRowLastColumn="0"/>
            </w:pPr>
            <w:r>
              <w:t>-</w:t>
            </w:r>
          </w:p>
        </w:tc>
      </w:tr>
      <w:tr w:rsidR="00C83A71" w14:paraId="529DF65A" w14:textId="77777777" w:rsidTr="00C83A71">
        <w:tc>
          <w:tcPr>
            <w:cnfStyle w:val="001000000000" w:firstRow="0" w:lastRow="0" w:firstColumn="1" w:lastColumn="0" w:oddVBand="0" w:evenVBand="0" w:oddHBand="0" w:evenHBand="0" w:firstRowFirstColumn="0" w:firstRowLastColumn="0" w:lastRowFirstColumn="0" w:lastRowLastColumn="0"/>
            <w:tcW w:w="1525" w:type="dxa"/>
          </w:tcPr>
          <w:p w14:paraId="5CF29120" w14:textId="77777777" w:rsidR="00C83A71" w:rsidRDefault="00C83A71" w:rsidP="00437E79"/>
        </w:tc>
        <w:tc>
          <w:tcPr>
            <w:tcW w:w="4708" w:type="dxa"/>
          </w:tcPr>
          <w:p w14:paraId="60B66BCA" w14:textId="77777777" w:rsidR="00C83A71" w:rsidRPr="00C83A71" w:rsidRDefault="00C83A71" w:rsidP="00437E7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3117" w:type="dxa"/>
          </w:tcPr>
          <w:p w14:paraId="51520530" w14:textId="77777777" w:rsidR="00C83A71" w:rsidRDefault="00C83A71" w:rsidP="00437E79">
            <w:pPr>
              <w:cnfStyle w:val="000000000000" w:firstRow="0" w:lastRow="0" w:firstColumn="0" w:lastColumn="0" w:oddVBand="0" w:evenVBand="0" w:oddHBand="0" w:evenHBand="0" w:firstRowFirstColumn="0" w:firstRowLastColumn="0" w:lastRowFirstColumn="0" w:lastRowLastColumn="0"/>
            </w:pPr>
          </w:p>
        </w:tc>
      </w:tr>
    </w:tbl>
    <w:p w14:paraId="7261E2FA" w14:textId="77777777" w:rsidR="00C83A71" w:rsidRDefault="00C83A71" w:rsidP="00184A6B">
      <w:pPr>
        <w:pStyle w:val="Heading2"/>
        <w:spacing w:line="480" w:lineRule="auto"/>
        <w:rPr>
          <w:rFonts w:ascii="Times New Roman" w:hAnsi="Times New Roman" w:cs="Times New Roman"/>
          <w:color w:val="auto"/>
          <w:sz w:val="24"/>
          <w:szCs w:val="24"/>
        </w:rPr>
      </w:pPr>
    </w:p>
    <w:p w14:paraId="2576331E" w14:textId="11A497D8" w:rsidR="00931564"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2.4</w:t>
      </w:r>
      <w:r w:rsidRPr="00564BB2">
        <w:rPr>
          <w:rFonts w:ascii="Times New Roman" w:hAnsi="Times New Roman" w:cs="Times New Roman"/>
          <w:color w:val="auto"/>
          <w:sz w:val="24"/>
          <w:szCs w:val="24"/>
        </w:rPr>
        <w:tab/>
        <w:t>ADSORPTION ISOTHERM MODEL</w:t>
      </w:r>
    </w:p>
    <w:p w14:paraId="3E81927C" w14:textId="77777777" w:rsidR="00805DBC" w:rsidRPr="00564BB2" w:rsidRDefault="00386402"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564BB2" w:rsidRDefault="00805DBC" w:rsidP="00184A6B">
      <w:pPr>
        <w:pStyle w:val="Heading3"/>
        <w:spacing w:line="480" w:lineRule="auto"/>
        <w:rPr>
          <w:rFonts w:ascii="Times New Roman" w:hAnsi="Times New Roman" w:cs="Times New Roman"/>
        </w:rPr>
      </w:pPr>
      <w:r w:rsidRPr="00564BB2">
        <w:rPr>
          <w:rFonts w:ascii="Times New Roman" w:hAnsi="Times New Roman" w:cs="Times New Roman"/>
        </w:rPr>
        <w:t>2.4.1</w:t>
      </w:r>
      <w:r w:rsidRPr="00564BB2">
        <w:rPr>
          <w:rFonts w:ascii="Times New Roman" w:hAnsi="Times New Roman" w:cs="Times New Roman"/>
        </w:rPr>
        <w:tab/>
        <w:t>Henry’s Isotherm</w:t>
      </w:r>
    </w:p>
    <w:p w14:paraId="1CFA601B" w14:textId="43F1E21A" w:rsidR="00805DBC" w:rsidRDefault="00564BB2" w:rsidP="00184A6B">
      <w:pPr>
        <w:spacing w:line="480" w:lineRule="auto"/>
        <w:rPr>
          <w:rFonts w:ascii="Times New Roman" w:hAnsi="Times New Roman" w:cs="Times New Roman"/>
          <w:sz w:val="24"/>
          <w:szCs w:val="24"/>
        </w:rPr>
      </w:pPr>
      <w:r w:rsidRPr="00564BB2">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Pr>
          <w:rFonts w:ascii="Times New Roman" w:hAnsi="Times New Roman" w:cs="Times New Roman"/>
          <w:sz w:val="24"/>
          <w:szCs w:val="24"/>
        </w:rPr>
        <w:t xml:space="preserve"> equation 1</w:t>
      </w:r>
      <w:r w:rsidR="00B9595D">
        <w:rPr>
          <w:rFonts w:ascii="Times New Roman" w:hAnsi="Times New Roman" w:cs="Times New Roman"/>
          <w:sz w:val="24"/>
          <w:szCs w:val="24"/>
        </w:rPr>
        <w:t xml:space="preserve"> </w:t>
      </w:r>
      <w:r w:rsidR="00B9595D">
        <w:rPr>
          <w:rFonts w:ascii="Times New Roman" w:hAnsi="Times New Roman" w:cs="Times New Roman"/>
          <w:sz w:val="24"/>
          <w:szCs w:val="24"/>
        </w:rPr>
        <w:fldChar w:fldCharType="begin"/>
      </w:r>
      <w:r w:rsidR="00751D22">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Pr>
          <w:rFonts w:ascii="Times New Roman" w:hAnsi="Times New Roman" w:cs="Times New Roman"/>
          <w:sz w:val="24"/>
          <w:szCs w:val="24"/>
        </w:rPr>
        <w:fldChar w:fldCharType="separate"/>
      </w:r>
      <w:r w:rsidR="00751D22" w:rsidRPr="00751D22">
        <w:rPr>
          <w:rFonts w:ascii="Times New Roman" w:hAnsi="Times New Roman" w:cs="Times New Roman"/>
          <w:sz w:val="24"/>
        </w:rPr>
        <w:t>(Ruthven, 1984)</w:t>
      </w:r>
      <w:r w:rsidR="00B9595D">
        <w:rPr>
          <w:rFonts w:ascii="Times New Roman" w:hAnsi="Times New Roman" w:cs="Times New Roman"/>
          <w:sz w:val="24"/>
          <w:szCs w:val="24"/>
        </w:rPr>
        <w:fldChar w:fldCharType="end"/>
      </w:r>
      <w:r w:rsidR="007B50C6">
        <w:rPr>
          <w:rFonts w:ascii="Times New Roman" w:hAnsi="Times New Roman" w:cs="Times New Roman"/>
          <w:sz w:val="24"/>
          <w:szCs w:val="24"/>
        </w:rPr>
        <w:t xml:space="preserve">. </w:t>
      </w:r>
    </w:p>
    <w:p w14:paraId="196B0F8F" w14:textId="73DA2FF5" w:rsidR="008430FF" w:rsidRPr="00564BB2" w:rsidRDefault="00991EFB" w:rsidP="00184A6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EC5693">
        <w:rPr>
          <w:rFonts w:ascii="Times New Roman" w:hAnsi="Times New Roman" w:cs="Times New Roman"/>
          <w:sz w:val="24"/>
          <w:szCs w:val="24"/>
        </w:rPr>
        <w:tab/>
      </w:r>
      <w:r w:rsidR="007C4BCF">
        <w:rPr>
          <w:rFonts w:ascii="Times New Roman" w:hAnsi="Times New Roman" w:cs="Times New Roman"/>
          <w:sz w:val="24"/>
          <w:szCs w:val="24"/>
        </w:rPr>
        <w:tab/>
      </w:r>
      <w:r w:rsidR="007C4BCF">
        <w:rPr>
          <w:rFonts w:ascii="Times New Roman" w:hAnsi="Times New Roman" w:cs="Times New Roman"/>
          <w:sz w:val="24"/>
          <w:szCs w:val="24"/>
        </w:rPr>
        <w:tab/>
      </w:r>
      <w:r w:rsidR="007C4BCF">
        <w:rPr>
          <w:rFonts w:ascii="Times New Roman" w:hAnsi="Times New Roman" w:cs="Times New Roman"/>
          <w:sz w:val="24"/>
          <w:szCs w:val="24"/>
        </w:rPr>
        <w:tab/>
      </w:r>
      <w:r w:rsidR="00EC5693">
        <w:rPr>
          <w:rFonts w:ascii="Times New Roman" w:hAnsi="Times New Roman" w:cs="Times New Roman"/>
          <w:sz w:val="24"/>
          <w:szCs w:val="24"/>
        </w:rPr>
        <w:tab/>
        <w:t>(1)</w:t>
      </w:r>
    </w:p>
    <w:p w14:paraId="1106126A" w14:textId="77777777"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where </w:t>
      </w:r>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is the adsorbed amount at equilibrium in mg/g,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 is Henry’s adsorption constant in L/g, and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is the adsorbate’s equilibrium concentration in mg/L.</w:t>
      </w:r>
    </w:p>
    <w:p w14:paraId="30FD1904" w14:textId="77777777"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A plot of </w:t>
      </w:r>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versus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produces a straight line, with a slope equal to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w:t>
      </w:r>
    </w:p>
    <w:p w14:paraId="78B5843E" w14:textId="0F8EBD59" w:rsidR="007C4BCF" w:rsidRPr="007C4BCF" w:rsidRDefault="007C4BCF" w:rsidP="00184A6B">
      <w:pPr>
        <w:spacing w:line="480" w:lineRule="auto"/>
        <w:rPr>
          <w:rFonts w:ascii="Times New Roman" w:hAnsi="Times New Roman" w:cs="Times New Roman"/>
          <w:sz w:val="24"/>
          <w:szCs w:val="24"/>
        </w:rPr>
      </w:pPr>
      <w:r w:rsidRPr="007C4BCF">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w:t>
      </w:r>
      <w:r w:rsidR="004D27AA">
        <w:rPr>
          <w:rFonts w:ascii="Times New Roman" w:hAnsi="Times New Roman" w:cs="Times New Roman"/>
          <w:sz w:val="24"/>
          <w:szCs w:val="24"/>
        </w:rPr>
        <w:t xml:space="preserve">. </w:t>
      </w:r>
      <w:r w:rsidR="004D27AA" w:rsidRPr="004D27AA">
        <w:rPr>
          <w:rFonts w:ascii="Times New Roman" w:hAnsi="Times New Roman" w:cs="Times New Roman"/>
          <w:sz w:val="24"/>
          <w:szCs w:val="24"/>
        </w:rPr>
        <w:t>This simplest model is invalid at the high concentrations of surfactant.</w:t>
      </w:r>
    </w:p>
    <w:p w14:paraId="5B2B4468" w14:textId="37E7566A" w:rsidR="00805DBC" w:rsidRDefault="00767FBA" w:rsidP="00184A6B">
      <w:pPr>
        <w:pStyle w:val="Heading3"/>
        <w:spacing w:line="480" w:lineRule="auto"/>
      </w:pPr>
      <w:r w:rsidRPr="00767FBA">
        <w:t>2.4.</w:t>
      </w:r>
      <w:r>
        <w:t>2</w:t>
      </w:r>
      <w:r>
        <w:tab/>
      </w:r>
      <w:r w:rsidR="000571A4" w:rsidRPr="000571A4">
        <w:t>Langmuir Isotherm</w:t>
      </w:r>
    </w:p>
    <w:p w14:paraId="35AFB1F3" w14:textId="586B43BB" w:rsidR="000571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The Langmuir isotherm was initially developed for gas–solid interaction but is also used for various adsorbents. </w:t>
      </w:r>
      <w:r w:rsidR="004C4080">
        <w:rPr>
          <w:rFonts w:ascii="Times New Roman" w:hAnsi="Times New Roman" w:cs="Times New Roman"/>
          <w:sz w:val="24"/>
          <w:szCs w:val="24"/>
        </w:rPr>
        <w:fldChar w:fldCharType="begin"/>
      </w:r>
      <w:r w:rsidR="004C4080">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Pr>
          <w:rFonts w:ascii="Times New Roman" w:hAnsi="Times New Roman" w:cs="Times New Roman"/>
          <w:sz w:val="24"/>
          <w:szCs w:val="24"/>
        </w:rPr>
        <w:fldChar w:fldCharType="separate"/>
      </w:r>
      <w:r w:rsidR="004C4080" w:rsidRPr="004C4080">
        <w:rPr>
          <w:rFonts w:ascii="Times New Roman" w:hAnsi="Times New Roman" w:cs="Times New Roman"/>
          <w:sz w:val="24"/>
        </w:rPr>
        <w:t>(Elmorsi, 2011)</w:t>
      </w:r>
      <w:r w:rsidR="004C4080">
        <w:rPr>
          <w:rFonts w:ascii="Times New Roman" w:hAnsi="Times New Roman" w:cs="Times New Roman"/>
          <w:sz w:val="24"/>
          <w:szCs w:val="24"/>
        </w:rPr>
        <w:fldChar w:fldCharType="end"/>
      </w:r>
      <w:r w:rsidR="004C4080">
        <w:rPr>
          <w:rFonts w:ascii="Times New Roman" w:hAnsi="Times New Roman" w:cs="Times New Roman"/>
          <w:sz w:val="24"/>
          <w:szCs w:val="24"/>
        </w:rPr>
        <w:t>.</w:t>
      </w:r>
      <w:r w:rsidRPr="000571A4">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conditions.Based on the following assumptions </w:t>
      </w:r>
    </w:p>
    <w:p w14:paraId="779402B0"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lastRenderedPageBreak/>
        <w:t>(a) monolayer adsorption</w:t>
      </w:r>
    </w:p>
    <w:p w14:paraId="563C9060"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 (b) homogeneous sites </w:t>
      </w:r>
    </w:p>
    <w:p w14:paraId="5E15324F" w14:textId="77777777" w:rsidR="00861B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(c) constant adsorption energy</w:t>
      </w:r>
    </w:p>
    <w:p w14:paraId="4318FE8A" w14:textId="77777777" w:rsidR="00F40373"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 xml:space="preserve">(d) no lateral interaction between the adsorbed molecules </w:t>
      </w:r>
    </w:p>
    <w:p w14:paraId="128A2EE3" w14:textId="6E0EA691" w:rsidR="000571A4" w:rsidRDefault="000571A4" w:rsidP="00184A6B">
      <w:pPr>
        <w:spacing w:line="480" w:lineRule="auto"/>
        <w:rPr>
          <w:rFonts w:ascii="Times New Roman" w:hAnsi="Times New Roman" w:cs="Times New Roman"/>
          <w:sz w:val="24"/>
          <w:szCs w:val="24"/>
        </w:rPr>
      </w:pPr>
      <w:r w:rsidRPr="000571A4">
        <w:rPr>
          <w:rFonts w:ascii="Times New Roman" w:hAnsi="Times New Roman" w:cs="Times New Roman"/>
          <w:sz w:val="24"/>
          <w:szCs w:val="24"/>
        </w:rPr>
        <w:t>the Langmuir isotherm can be written as</w:t>
      </w:r>
    </w:p>
    <w:p w14:paraId="74793BBE" w14:textId="55809D77" w:rsidR="00861BA4" w:rsidRDefault="009175A8" w:rsidP="00184A6B">
      <w:p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4"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4"/>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861BA4">
        <w:rPr>
          <w:rFonts w:ascii="Times New Roman" w:hAnsi="Times New Roman" w:cs="Times New Roman"/>
          <w:sz w:val="24"/>
          <w:szCs w:val="24"/>
        </w:rPr>
        <w:tab/>
      </w:r>
      <w:r w:rsidR="00F40373">
        <w:rPr>
          <w:rFonts w:ascii="Times New Roman" w:hAnsi="Times New Roman" w:cs="Times New Roman"/>
          <w:sz w:val="24"/>
          <w:szCs w:val="24"/>
        </w:rPr>
        <w:tab/>
      </w:r>
      <w:r w:rsidR="00BF6B75">
        <w:rPr>
          <w:rFonts w:ascii="Times New Roman" w:hAnsi="Times New Roman" w:cs="Times New Roman"/>
          <w:sz w:val="24"/>
          <w:szCs w:val="24"/>
        </w:rPr>
        <w:t>(2)</w:t>
      </w:r>
    </w:p>
    <w:p w14:paraId="3FDE0A50" w14:textId="6069CCC1" w:rsidR="00BF6B75" w:rsidRDefault="008F7E8A" w:rsidP="00184A6B">
      <w:pPr>
        <w:spacing w:line="480" w:lineRule="auto"/>
        <w:rPr>
          <w:rFonts w:ascii="Times New Roman" w:hAnsi="Times New Roman" w:cs="Times New Roman"/>
          <w:sz w:val="24"/>
          <w:szCs w:val="24"/>
        </w:rPr>
      </w:pPr>
      <w:r w:rsidRPr="008F7E8A">
        <w:rPr>
          <w:rFonts w:ascii="Times New Roman" w:hAnsi="Times New Roman" w:cs="Times New Roman"/>
          <w:sz w:val="24"/>
          <w:szCs w:val="24"/>
        </w:rPr>
        <w:t>where </w:t>
      </w:r>
      <w:r w:rsidRPr="008F7E8A">
        <w:rPr>
          <w:rFonts w:ascii="Times New Roman" w:hAnsi="Times New Roman" w:cs="Times New Roman"/>
          <w:i/>
          <w:iCs/>
          <w:sz w:val="24"/>
          <w:szCs w:val="24"/>
        </w:rPr>
        <w:t>q</w:t>
      </w:r>
      <w:r w:rsidRPr="008F7E8A">
        <w:rPr>
          <w:rFonts w:ascii="Times New Roman" w:hAnsi="Times New Roman" w:cs="Times New Roman"/>
          <w:sz w:val="24"/>
          <w:szCs w:val="24"/>
          <w:vertAlign w:val="subscript"/>
        </w:rPr>
        <w:t>o</w:t>
      </w:r>
      <w:r w:rsidRPr="008F7E8A">
        <w:rPr>
          <w:rFonts w:ascii="Times New Roman" w:hAnsi="Times New Roman" w:cs="Times New Roman"/>
          <w:sz w:val="24"/>
          <w:szCs w:val="24"/>
        </w:rPr>
        <w:t> is the maximum amount of adsorbed surfactant in mg/g and </w:t>
      </w:r>
      <w:r w:rsidRPr="008F7E8A">
        <w:rPr>
          <w:rFonts w:ascii="Times New Roman" w:hAnsi="Times New Roman" w:cs="Times New Roman"/>
          <w:i/>
          <w:iCs/>
          <w:sz w:val="24"/>
          <w:szCs w:val="24"/>
        </w:rPr>
        <w:t>K</w:t>
      </w:r>
      <w:r w:rsidRPr="008F7E8A">
        <w:rPr>
          <w:rFonts w:ascii="Times New Roman" w:hAnsi="Times New Roman" w:cs="Times New Roman"/>
          <w:sz w:val="24"/>
          <w:szCs w:val="24"/>
          <w:vertAlign w:val="subscript"/>
        </w:rPr>
        <w:t>L</w:t>
      </w:r>
      <w:r w:rsidRPr="008F7E8A">
        <w:rPr>
          <w:rFonts w:ascii="Times New Roman" w:hAnsi="Times New Roman" w:cs="Times New Roman"/>
          <w:sz w:val="24"/>
          <w:szCs w:val="24"/>
        </w:rPr>
        <w:t> is the Langmuir constant in L/mg. The linearized version of</w:t>
      </w:r>
      <w:r>
        <w:rPr>
          <w:rFonts w:ascii="Times New Roman" w:hAnsi="Times New Roman" w:cs="Times New Roman"/>
          <w:sz w:val="24"/>
          <w:szCs w:val="24"/>
        </w:rPr>
        <w:t xml:space="preserve"> equation </w:t>
      </w:r>
      <w:r w:rsidR="00B90B0F">
        <w:rPr>
          <w:rFonts w:ascii="Times New Roman" w:hAnsi="Times New Roman" w:cs="Times New Roman"/>
          <w:sz w:val="24"/>
          <w:szCs w:val="24"/>
        </w:rPr>
        <w:t>3</w:t>
      </w:r>
      <w:r w:rsidRPr="008F7E8A">
        <w:rPr>
          <w:rFonts w:ascii="Times New Roman" w:hAnsi="Times New Roman" w:cs="Times New Roman"/>
          <w:sz w:val="24"/>
          <w:szCs w:val="24"/>
        </w:rPr>
        <w:t> is</w:t>
      </w:r>
    </w:p>
    <w:p w14:paraId="31BEA2FE" w14:textId="497FC9A4" w:rsidR="00B90B0F" w:rsidRDefault="002C35B6" w:rsidP="00184A6B">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r>
      <w:r w:rsidR="00B90B0F">
        <w:rPr>
          <w:rFonts w:ascii="Times New Roman" w:hAnsi="Times New Roman" w:cs="Times New Roman"/>
          <w:sz w:val="24"/>
          <w:szCs w:val="24"/>
        </w:rPr>
        <w:tab/>
        <w:t>(3)</w:t>
      </w:r>
    </w:p>
    <w:p w14:paraId="599F9F50" w14:textId="77777777" w:rsidR="0039110A" w:rsidRPr="0039110A" w:rsidRDefault="0039110A" w:rsidP="00184A6B">
      <w:pPr>
        <w:spacing w:line="480" w:lineRule="auto"/>
        <w:rPr>
          <w:rFonts w:ascii="Times New Roman" w:hAnsi="Times New Roman" w:cs="Times New Roman"/>
          <w:sz w:val="24"/>
          <w:szCs w:val="24"/>
        </w:rPr>
      </w:pPr>
      <w:r w:rsidRPr="0039110A">
        <w:rPr>
          <w:rFonts w:ascii="Times New Roman" w:hAnsi="Times New Roman" w:cs="Times New Roman"/>
          <w:sz w:val="24"/>
          <w:szCs w:val="24"/>
        </w:rPr>
        <w:t>A plot between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versus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will generate a straight line with a slope of 1/</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r w:rsidRPr="0039110A">
        <w:rPr>
          <w:rFonts w:ascii="Times New Roman" w:hAnsi="Times New Roman" w:cs="Times New Roman"/>
          <w:sz w:val="24"/>
          <w:szCs w:val="24"/>
        </w:rPr>
        <w:t> and an intercept equals to 1/</w:t>
      </w:r>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r w:rsidRPr="0039110A">
        <w:rPr>
          <w:rFonts w:ascii="Times New Roman" w:hAnsi="Times New Roman" w:cs="Times New Roman"/>
          <w:sz w:val="24"/>
          <w:szCs w:val="24"/>
        </w:rPr>
        <w:t>.</w:t>
      </w:r>
    </w:p>
    <w:p w14:paraId="5BAF9C86" w14:textId="77777777" w:rsidR="0039110A" w:rsidRDefault="0039110A" w:rsidP="00184A6B">
      <w:pPr>
        <w:spacing w:line="480" w:lineRule="auto"/>
        <w:rPr>
          <w:rFonts w:ascii="Times New Roman" w:hAnsi="Times New Roman" w:cs="Times New Roman"/>
          <w:sz w:val="24"/>
          <w:szCs w:val="24"/>
        </w:rPr>
      </w:pPr>
      <w:r w:rsidRPr="0039110A">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w:t>
      </w:r>
      <w:r w:rsidRPr="0039110A">
        <w:rPr>
          <w:rFonts w:ascii="Cambria Math" w:hAnsi="Cambria Math" w:cs="Cambria Math"/>
          <w:sz w:val="24"/>
          <w:szCs w:val="24"/>
        </w:rPr>
        <w:t>≪</w:t>
      </w:r>
      <w:r w:rsidRPr="0039110A">
        <w:rPr>
          <w:rFonts w:ascii="Times New Roman" w:hAnsi="Times New Roman" w:cs="Times New Roman"/>
          <w:sz w:val="24"/>
          <w:szCs w:val="24"/>
        </w:rPr>
        <w:t xml:space="preserve"> 1).</w:t>
      </w:r>
    </w:p>
    <w:p w14:paraId="72737D05" w14:textId="3A86D469" w:rsidR="00F65409" w:rsidRDefault="00F65409" w:rsidP="00184A6B">
      <w:pPr>
        <w:spacing w:line="480" w:lineRule="auto"/>
        <w:rPr>
          <w:rFonts w:ascii="Times New Roman" w:hAnsi="Times New Roman" w:cs="Times New Roman"/>
          <w:sz w:val="24"/>
          <w:szCs w:val="24"/>
        </w:rPr>
      </w:pPr>
      <w:r w:rsidRPr="00F65409">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009C37F6">
        <w:rPr>
          <w:rFonts w:ascii="Times New Roman" w:hAnsi="Times New Roman" w:cs="Times New Roman"/>
          <w:sz w:val="24"/>
          <w:szCs w:val="24"/>
        </w:rPr>
        <w:fldChar w:fldCharType="begin"/>
      </w:r>
      <w:r w:rsidR="009C37F6">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Pr>
          <w:rFonts w:ascii="Times New Roman" w:hAnsi="Times New Roman" w:cs="Times New Roman"/>
          <w:sz w:val="24"/>
          <w:szCs w:val="24"/>
        </w:rPr>
        <w:fldChar w:fldCharType="separate"/>
      </w:r>
      <w:r w:rsidR="009C37F6" w:rsidRPr="009C37F6">
        <w:rPr>
          <w:rFonts w:ascii="Times New Roman" w:hAnsi="Times New Roman" w:cs="Times New Roman"/>
          <w:sz w:val="24"/>
        </w:rPr>
        <w:t>(Gunawardene et al., 2021)</w:t>
      </w:r>
      <w:r w:rsidR="009C37F6">
        <w:rPr>
          <w:rFonts w:ascii="Times New Roman" w:hAnsi="Times New Roman" w:cs="Times New Roman"/>
          <w:sz w:val="24"/>
          <w:szCs w:val="24"/>
        </w:rPr>
        <w:fldChar w:fldCharType="end"/>
      </w:r>
      <w:r w:rsidRPr="00F65409">
        <w:rPr>
          <w:rFonts w:ascii="Times New Roman" w:hAnsi="Times New Roman" w:cs="Times New Roman"/>
          <w:sz w:val="24"/>
          <w:szCs w:val="24"/>
        </w:rPr>
        <w:t>.</w:t>
      </w:r>
      <w:r w:rsidR="009C37F6">
        <w:rPr>
          <w:rFonts w:ascii="Times New Roman" w:hAnsi="Times New Roman" w:cs="Times New Roman"/>
          <w:sz w:val="24"/>
          <w:szCs w:val="24"/>
        </w:rPr>
        <w:t xml:space="preserve"> </w:t>
      </w:r>
      <w:r w:rsidR="009C37F6" w:rsidRPr="009C37F6">
        <w:rPr>
          <w:rFonts w:ascii="Times New Roman" w:hAnsi="Times New Roman" w:cs="Times New Roman"/>
          <w:sz w:val="24"/>
          <w:szCs w:val="24"/>
        </w:rPr>
        <w:t>Mathematically, it can be shown as</w:t>
      </w:r>
    </w:p>
    <w:p w14:paraId="5B839C32" w14:textId="26060C05" w:rsidR="009C37F6" w:rsidRPr="0039110A" w:rsidRDefault="00E405E0" w:rsidP="00184A6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r>
      <w:r w:rsidR="009C37F6">
        <w:rPr>
          <w:rFonts w:ascii="Times New Roman" w:hAnsi="Times New Roman" w:cs="Times New Roman"/>
          <w:sz w:val="24"/>
          <w:szCs w:val="24"/>
        </w:rPr>
        <w:tab/>
        <w:t>(4)</w:t>
      </w:r>
    </w:p>
    <w:p w14:paraId="5703260B" w14:textId="77777777" w:rsidR="00DB37AE" w:rsidRPr="00DB37AE" w:rsidRDefault="00DB37AE" w:rsidP="00184A6B">
      <w:pPr>
        <w:spacing w:line="480" w:lineRule="auto"/>
        <w:rPr>
          <w:rFonts w:ascii="Times New Roman" w:hAnsi="Times New Roman" w:cs="Times New Roman"/>
          <w:sz w:val="24"/>
          <w:szCs w:val="24"/>
        </w:rPr>
      </w:pPr>
      <w:r w:rsidRPr="00DB37AE">
        <w:rPr>
          <w:rFonts w:ascii="Times New Roman" w:hAnsi="Times New Roman" w:cs="Times New Roman"/>
          <w:sz w:val="24"/>
          <w:szCs w:val="24"/>
        </w:rPr>
        <w:lastRenderedPageBreak/>
        <w:t>where </w:t>
      </w:r>
      <w:r w:rsidRPr="00DB37AE">
        <w:rPr>
          <w:rFonts w:ascii="Times New Roman" w:hAnsi="Times New Roman" w:cs="Times New Roman"/>
          <w:i/>
          <w:iCs/>
          <w:sz w:val="24"/>
          <w:szCs w:val="24"/>
        </w:rPr>
        <w:t>K</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and </w:t>
      </w:r>
      <w:r w:rsidRPr="00DB37AE">
        <w:rPr>
          <w:rFonts w:ascii="Times New Roman" w:hAnsi="Times New Roman" w:cs="Times New Roman"/>
          <w:i/>
          <w:iCs/>
          <w:sz w:val="24"/>
          <w:szCs w:val="24"/>
        </w:rPr>
        <w:t>C</w:t>
      </w:r>
      <w:r w:rsidRPr="00DB37AE">
        <w:rPr>
          <w:rFonts w:ascii="Times New Roman" w:hAnsi="Times New Roman" w:cs="Times New Roman"/>
          <w:sz w:val="24"/>
          <w:szCs w:val="24"/>
          <w:vertAlign w:val="subscript"/>
        </w:rPr>
        <w:t>o</w:t>
      </w:r>
      <w:r w:rsidRPr="00DB37AE">
        <w:rPr>
          <w:rFonts w:ascii="Times New Roman" w:hAnsi="Times New Roman" w:cs="Times New Roman"/>
          <w:sz w:val="24"/>
          <w:szCs w:val="24"/>
        </w:rPr>
        <w:t> are the Langmuir constant and highest initial concentration of surfactant, respectively.</w:t>
      </w:r>
    </w:p>
    <w:p w14:paraId="0FCB091B" w14:textId="11C51626" w:rsidR="00B90B0F" w:rsidRDefault="00DB37AE" w:rsidP="00184A6B">
      <w:pPr>
        <w:spacing w:line="480" w:lineRule="auto"/>
        <w:rPr>
          <w:rFonts w:ascii="Times New Roman" w:hAnsi="Times New Roman" w:cs="Times New Roman"/>
          <w:sz w:val="24"/>
          <w:szCs w:val="24"/>
        </w:rPr>
      </w:pPr>
      <w:r w:rsidRPr="00DB37AE">
        <w:rPr>
          <w:rFonts w:ascii="Times New Roman" w:hAnsi="Times New Roman" w:cs="Times New Roman"/>
          <w:sz w:val="24"/>
          <w:szCs w:val="24"/>
        </w:rPr>
        <w:t>In general,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&lt; 1 indicates that adsorption is favorable;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w:t>
      </w:r>
      <w:r w:rsidRPr="00DB37AE">
        <w:rPr>
          <w:rFonts w:ascii="Cambria Math" w:hAnsi="Cambria Math" w:cs="Cambria Math"/>
          <w:sz w:val="24"/>
          <w:szCs w:val="24"/>
        </w:rPr>
        <w:t>∼</w:t>
      </w:r>
      <w:r w:rsidRPr="00DB37AE">
        <w:rPr>
          <w:rFonts w:ascii="Times New Roman" w:hAnsi="Times New Roman" w:cs="Times New Roman"/>
          <w:sz w:val="24"/>
          <w:szCs w:val="24"/>
        </w:rPr>
        <w:t xml:space="preserve"> 0 indicates that adsorption is irreversible;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 1 indicates that the adsorption isotherm is linear, and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&gt; 1 corresponds to unfavorable adsorption.</w:t>
      </w:r>
    </w:p>
    <w:p w14:paraId="0BD4866B" w14:textId="232C7176" w:rsidR="00DB37AE" w:rsidRDefault="001F0B6C" w:rsidP="00184A6B">
      <w:pPr>
        <w:pStyle w:val="Heading3"/>
        <w:spacing w:line="480" w:lineRule="auto"/>
      </w:pPr>
      <w:r>
        <w:t>2.4.3</w:t>
      </w:r>
      <w:r>
        <w:tab/>
      </w:r>
      <w:r w:rsidRPr="001F0B6C">
        <w:t>Freundlich Isotherm</w:t>
      </w:r>
    </w:p>
    <w:p w14:paraId="359C6226" w14:textId="7F6B9B5E" w:rsidR="001F0B6C" w:rsidRDefault="001F0B6C" w:rsidP="00184A6B">
      <w:pPr>
        <w:spacing w:line="480" w:lineRule="auto"/>
      </w:pPr>
      <w:r w:rsidRPr="001F0B6C">
        <w:t>Unlike the Langmuir isotherm, this empirical model can be used for multilayer adsorption on heterogeneous sites. It assumes that the adsorption heat distribution and affinities toward the heterogeneous surface are nonuniform</w:t>
      </w:r>
      <w:r w:rsidR="00191AEE">
        <w:fldChar w:fldCharType="begin"/>
      </w:r>
      <w:r w:rsidR="00191AEE">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fldChar w:fldCharType="separate"/>
      </w:r>
      <w:r w:rsidR="00191AEE" w:rsidRPr="00191AEE">
        <w:rPr>
          <w:rFonts w:ascii="Calibri" w:hAnsi="Calibri" w:cs="Calibri"/>
        </w:rPr>
        <w:t>(Foo &amp; Hameed, 2010)</w:t>
      </w:r>
      <w:r w:rsidR="00191AEE">
        <w:fldChar w:fldCharType="end"/>
      </w:r>
      <w:r w:rsidRPr="001F0B6C">
        <w:t>.</w:t>
      </w:r>
    </w:p>
    <w:p w14:paraId="06E6EB06" w14:textId="52FAB5B8" w:rsidR="0038319D" w:rsidRDefault="0038319D" w:rsidP="00184A6B">
      <w:pPr>
        <w:spacing w:line="480" w:lineRule="auto"/>
      </w:pPr>
      <w:r w:rsidRPr="0038319D">
        <w:t>The mathematical model can be shown as</w:t>
      </w:r>
    </w:p>
    <w:p w14:paraId="44992A40" w14:textId="53A30843" w:rsidR="0038319D" w:rsidRDefault="00156D19" w:rsidP="00184A6B">
      <w:pPr>
        <w:spacing w:line="480" w:lineRule="auto"/>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bSup>
      </m:oMath>
      <w:r w:rsidR="0038319D">
        <w:tab/>
      </w:r>
      <w:r w:rsidR="0038319D">
        <w:tab/>
      </w:r>
      <w:r w:rsidR="0038319D">
        <w:tab/>
      </w:r>
      <w:r w:rsidR="0038319D">
        <w:tab/>
      </w:r>
      <w:r w:rsidR="0038319D">
        <w:tab/>
      </w:r>
      <w:r w:rsidR="0038319D">
        <w:tab/>
      </w:r>
      <w:r w:rsidR="0038319D">
        <w:tab/>
      </w:r>
      <w:r w:rsidR="0038319D">
        <w:tab/>
      </w:r>
      <w:r w:rsidR="0038319D">
        <w:tab/>
      </w:r>
      <w:r w:rsidR="0038319D">
        <w:tab/>
        <w:t>(5)</w:t>
      </w:r>
    </w:p>
    <w:p w14:paraId="29B18723" w14:textId="77777777" w:rsidR="0038319D" w:rsidRPr="0038319D" w:rsidRDefault="0038319D" w:rsidP="00184A6B">
      <w:pPr>
        <w:spacing w:line="480" w:lineRule="auto"/>
      </w:pPr>
      <w:r w:rsidRPr="0038319D">
        <w:t>where </w:t>
      </w:r>
      <w:r w:rsidRPr="0038319D">
        <w:rPr>
          <w:i/>
          <w:iCs/>
        </w:rPr>
        <w:t>b</w:t>
      </w:r>
      <w:r w:rsidRPr="0038319D">
        <w:t> is the adsorption capacity in L/mg and 1/</w:t>
      </w:r>
      <w:r w:rsidRPr="0038319D">
        <w:rPr>
          <w:i/>
          <w:iCs/>
        </w:rPr>
        <w:t>n</w:t>
      </w:r>
      <w:r w:rsidRPr="0038319D">
        <w:t> is the adsorption intensity or surface heterogeneity. When 0 &lt; 1/</w:t>
      </w:r>
      <w:r w:rsidRPr="0038319D">
        <w:rPr>
          <w:i/>
          <w:iCs/>
        </w:rPr>
        <w:t>n</w:t>
      </w:r>
      <w:r w:rsidRPr="0038319D">
        <w:t> &lt; 1, adsorption is considered favorable. Unfavorable adsorption occurs when 1/</w:t>
      </w:r>
      <w:r w:rsidRPr="0038319D">
        <w:rPr>
          <w:i/>
          <w:iCs/>
        </w:rPr>
        <w:t>n</w:t>
      </w:r>
      <w:r w:rsidRPr="0038319D">
        <w:t> &gt; 1 and is irreversible at 1/</w:t>
      </w:r>
      <w:r w:rsidRPr="0038319D">
        <w:rPr>
          <w:i/>
          <w:iCs/>
        </w:rPr>
        <w:t>n</w:t>
      </w:r>
      <w:r w:rsidRPr="0038319D">
        <w:t> = 1.</w:t>
      </w:r>
    </w:p>
    <w:p w14:paraId="1A9A00A4" w14:textId="77777777" w:rsidR="0038319D" w:rsidRPr="0038319D" w:rsidRDefault="0038319D" w:rsidP="00184A6B">
      <w:pPr>
        <w:spacing w:line="480" w:lineRule="auto"/>
      </w:pPr>
      <w:r w:rsidRPr="0038319D">
        <w:t>The linearized form can be written as</w:t>
      </w:r>
    </w:p>
    <w:p w14:paraId="27278B25" w14:textId="14682117" w:rsidR="0038319D" w:rsidRDefault="00E570EC" w:rsidP="00184A6B">
      <w:pPr>
        <w:spacing w:line="480" w:lineRule="auto"/>
      </w:pPr>
      <m:oMath>
        <m:r>
          <w:rPr>
            <w:rFonts w:ascii="Cambria Math" w:hAnsi="Cambria Math"/>
          </w:rPr>
          <m:t>In</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=In b+ </m:t>
        </m:r>
        <m:f>
          <m:fPr>
            <m:ctrlPr>
              <w:rPr>
                <w:rFonts w:ascii="Cambria Math" w:hAnsi="Cambria Math"/>
                <w:i/>
              </w:rPr>
            </m:ctrlPr>
          </m:fPr>
          <m:num>
            <m:r>
              <w:rPr>
                <w:rFonts w:ascii="Cambria Math" w:hAnsi="Cambria Math"/>
              </w:rPr>
              <m:t>1</m:t>
            </m:r>
          </m:num>
          <m:den>
            <m:r>
              <w:rPr>
                <w:rFonts w:ascii="Cambria Math" w:hAnsi="Cambria Math"/>
              </w:rPr>
              <m:t>n</m:t>
            </m:r>
          </m:den>
        </m:f>
      </m:oMath>
      <w:r>
        <w:t>In</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38319D">
        <w:tab/>
      </w:r>
      <w:r w:rsidR="0038319D">
        <w:tab/>
      </w:r>
      <w:r w:rsidR="0038319D">
        <w:tab/>
      </w:r>
      <w:r w:rsidR="0038319D">
        <w:tab/>
      </w:r>
      <w:r w:rsidR="0038319D">
        <w:tab/>
      </w:r>
      <w:r w:rsidR="0038319D">
        <w:tab/>
        <w:t>(6)</w:t>
      </w:r>
    </w:p>
    <w:p w14:paraId="04E24C86" w14:textId="77777777" w:rsidR="00EB0E2C" w:rsidRPr="00EB0E2C" w:rsidRDefault="00EB0E2C" w:rsidP="00184A6B">
      <w:pPr>
        <w:spacing w:line="480" w:lineRule="auto"/>
      </w:pPr>
      <w:r w:rsidRPr="00EB0E2C">
        <w:t>A plot of ln </w:t>
      </w:r>
      <w:r w:rsidRPr="00EB0E2C">
        <w:rPr>
          <w:i/>
          <w:iCs/>
        </w:rPr>
        <w:t>q</w:t>
      </w:r>
      <w:r w:rsidRPr="00EB0E2C">
        <w:rPr>
          <w:vertAlign w:val="subscript"/>
        </w:rPr>
        <w:t>e</w:t>
      </w:r>
      <w:r w:rsidRPr="00EB0E2C">
        <w:t> versus ln </w:t>
      </w:r>
      <w:r w:rsidRPr="00EB0E2C">
        <w:rPr>
          <w:i/>
          <w:iCs/>
        </w:rPr>
        <w:t>C</w:t>
      </w:r>
      <w:r w:rsidRPr="00EB0E2C">
        <w:rPr>
          <w:vertAlign w:val="subscript"/>
        </w:rPr>
        <w:t>e</w:t>
      </w:r>
      <w:r w:rsidRPr="00EB0E2C">
        <w:t> produces a straight line with a slope = 1/</w:t>
      </w:r>
      <w:r w:rsidRPr="00EB0E2C">
        <w:rPr>
          <w:i/>
          <w:iCs/>
        </w:rPr>
        <w:t>n</w:t>
      </w:r>
      <w:r w:rsidRPr="00EB0E2C">
        <w:t> and intercept = ln </w:t>
      </w:r>
      <w:r w:rsidRPr="00EB0E2C">
        <w:rPr>
          <w:i/>
          <w:iCs/>
        </w:rPr>
        <w:t>b</w:t>
      </w:r>
      <w:r w:rsidRPr="00EB0E2C">
        <w:t>.</w:t>
      </w:r>
    </w:p>
    <w:p w14:paraId="789E7409" w14:textId="6C420701" w:rsidR="00EB0E2C" w:rsidRDefault="00EB0E2C" w:rsidP="00184A6B">
      <w:pPr>
        <w:spacing w:line="480" w:lineRule="auto"/>
      </w:pPr>
      <w:r w:rsidRPr="00EB0E2C">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fldChar w:fldCharType="begin"/>
      </w:r>
      <w:r w:rsidR="00600111">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fldChar w:fldCharType="separate"/>
      </w:r>
      <w:r w:rsidR="00600111" w:rsidRPr="00600111">
        <w:rPr>
          <w:rFonts w:ascii="Calibri" w:hAnsi="Calibri" w:cs="Calibri"/>
        </w:rPr>
        <w:t>(Wang &amp; Guo, 2020)</w:t>
      </w:r>
      <w:r w:rsidR="00600111">
        <w:fldChar w:fldCharType="end"/>
      </w:r>
      <w:r w:rsidRPr="00EB0E2C">
        <w:t>. </w:t>
      </w:r>
    </w:p>
    <w:p w14:paraId="267B5954" w14:textId="4448DB20" w:rsidR="009918BD" w:rsidRPr="00EB0E2C" w:rsidRDefault="009918BD" w:rsidP="00184A6B">
      <w:pPr>
        <w:spacing w:line="480" w:lineRule="auto"/>
      </w:pPr>
      <w:r w:rsidRPr="009918BD">
        <w:lastRenderedPageBreak/>
        <w:t>The Freundlich isotherm describes multilayer adsorption and assumes exponential decay in the energy distribution of adsorbed sites. However, it is not valid for a large range of adsorption data</w:t>
      </w:r>
      <w:r w:rsidR="00FF71FE">
        <w:t xml:space="preserve"> </w:t>
      </w:r>
      <w:r w:rsidR="00FF71FE">
        <w:fldChar w:fldCharType="begin"/>
      </w:r>
      <w:r w:rsidR="00FF71FE">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fldChar w:fldCharType="separate"/>
      </w:r>
      <w:r w:rsidR="00FF71FE" w:rsidRPr="00FF71FE">
        <w:rPr>
          <w:rFonts w:ascii="Calibri" w:hAnsi="Calibri" w:cs="Calibri"/>
          <w:szCs w:val="24"/>
        </w:rPr>
        <w:t>(Al-Ghouti &amp; Da’ana, 2020)</w:t>
      </w:r>
      <w:r w:rsidR="00FF71FE">
        <w:fldChar w:fldCharType="end"/>
      </w:r>
      <w:r w:rsidRPr="009918BD">
        <w:t>.</w:t>
      </w:r>
    </w:p>
    <w:p w14:paraId="2B1B9C37" w14:textId="06536B3C" w:rsidR="00EB0E2C" w:rsidRDefault="00B2352C" w:rsidP="00184A6B">
      <w:pPr>
        <w:pStyle w:val="Heading3"/>
        <w:spacing w:line="480" w:lineRule="auto"/>
      </w:pPr>
      <w:r>
        <w:t>2.4.4</w:t>
      </w:r>
      <w:r>
        <w:tab/>
      </w:r>
      <w:r w:rsidRPr="00B2352C">
        <w:t>Temkin Isotherm</w:t>
      </w:r>
    </w:p>
    <w:p w14:paraId="0EE48646" w14:textId="61454C64" w:rsidR="00B2352C" w:rsidRDefault="00600F7C" w:rsidP="00184A6B">
      <w:pPr>
        <w:spacing w:line="480" w:lineRule="auto"/>
      </w:pPr>
      <w:r w:rsidRPr="00600F7C">
        <w:t xml:space="preserve">The Temkin model, which presumes a multilayer adsorption process, considers interactions between the adsorbent and the </w:t>
      </w:r>
      <w:r w:rsidR="00094086" w:rsidRPr="00600F7C">
        <w:t>adsorbate, but</w:t>
      </w:r>
      <w:r w:rsidRPr="00600F7C">
        <w:t xml:space="preserve"> it ignores very small and very large concentration values. </w:t>
      </w:r>
      <w:r w:rsidR="008817E3" w:rsidRPr="008817E3">
        <w:rPr>
          <w:rFonts w:ascii="Calibri" w:hAnsi="Calibri" w:cs="Calibri"/>
        </w:rPr>
        <w:t>(Foo &amp; Hameed, 2010)</w:t>
      </w:r>
      <w:r w:rsidR="00094086">
        <w:rPr>
          <w:rFonts w:ascii="Calibri" w:hAnsi="Calibri" w:cs="Calibri"/>
        </w:rPr>
        <w:t xml:space="preserve">. </w:t>
      </w:r>
      <w:r w:rsidRPr="00600F7C">
        <w:t>The nonlinearized form of the Temkin isotherm is expressed by</w:t>
      </w:r>
    </w:p>
    <w:p w14:paraId="08E7CB3E" w14:textId="1CAAB073" w:rsidR="00600F7C" w:rsidRDefault="006C7105" w:rsidP="00184A6B">
      <w:pPr>
        <w:spacing w:line="480" w:lineRule="auto"/>
      </w:pP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oMath>
      <w:r w:rsidR="00600F7C">
        <w:tab/>
      </w:r>
      <w:r w:rsidR="00600F7C">
        <w:tab/>
      </w:r>
      <w:r w:rsidR="00600F7C">
        <w:tab/>
      </w:r>
      <w:r w:rsidR="00600F7C">
        <w:tab/>
      </w:r>
      <w:r w:rsidR="00600F7C">
        <w:tab/>
      </w:r>
      <w:r w:rsidR="00600F7C">
        <w:tab/>
      </w:r>
      <w:r w:rsidR="00600F7C">
        <w:tab/>
      </w:r>
      <w:r w:rsidR="00600F7C">
        <w:tab/>
      </w:r>
      <w:r w:rsidR="00600F7C">
        <w:tab/>
        <w:t>(7)</w:t>
      </w:r>
    </w:p>
    <w:p w14:paraId="03EDC5CE" w14:textId="77777777" w:rsidR="00F67336" w:rsidRDefault="00F67336" w:rsidP="00184A6B">
      <w:pPr>
        <w:spacing w:line="480" w:lineRule="auto"/>
      </w:pPr>
      <w:r>
        <w:t>where R is the universal gas constant in J/(mol K), T is the temperature in K, b is the Temkin constant related to sorption heat in J/mol, and Km is the Temkin isotherm constant in L/g.</w:t>
      </w:r>
    </w:p>
    <w:p w14:paraId="0702D666" w14:textId="53CA1F57" w:rsidR="00F67336" w:rsidRDefault="00F67336" w:rsidP="00184A6B">
      <w:pPr>
        <w:spacing w:line="480" w:lineRule="auto"/>
      </w:pPr>
      <w:r>
        <w:t>The linearized form can be written as</w:t>
      </w:r>
    </w:p>
    <w:p w14:paraId="6FB86A7B" w14:textId="6E522DBD" w:rsidR="00F67336" w:rsidRDefault="0020092E" w:rsidP="00184A6B">
      <w:pPr>
        <w:spacing w:line="480" w:lineRule="auto"/>
      </w:pP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w:bookmarkStart w:id="5" w:name="_Hlk163194450"/>
        <m:f>
          <m:fPr>
            <m:ctrlPr>
              <w:rPr>
                <w:rFonts w:ascii="Cambria Math" w:hAnsi="Cambria Math"/>
                <w:i/>
              </w:rPr>
            </m:ctrlPr>
          </m:fPr>
          <m:num>
            <m:r>
              <w:rPr>
                <w:rFonts w:ascii="Cambria Math" w:hAnsi="Cambria Math"/>
              </w:rPr>
              <m:t>RT</m:t>
            </m:r>
          </m:num>
          <m:den>
            <m:r>
              <w:rPr>
                <w:rFonts w:ascii="Cambria Math" w:hAnsi="Cambria Math"/>
              </w:rPr>
              <m:t>b</m:t>
            </m:r>
          </m:den>
        </m:f>
        <w:bookmarkEnd w:id="5"/>
        <m:r>
          <w:rPr>
            <w:rFonts w:ascii="Cambria Math" w:hAnsi="Cambria Math"/>
          </w:rPr>
          <m:t>In</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w:bookmarkStart w:id="6" w:name="_Hlk163194462"/>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bookmarkEnd w:id="6"/>
      <w:r w:rsidR="00F67336">
        <w:tab/>
      </w:r>
      <w:r w:rsidR="00F67336">
        <w:tab/>
      </w:r>
      <w:r w:rsidR="00F67336">
        <w:tab/>
      </w:r>
      <w:r w:rsidR="00F67336">
        <w:tab/>
      </w:r>
      <w:r w:rsidR="00F67336">
        <w:tab/>
      </w:r>
      <w:r w:rsidR="00F67336">
        <w:tab/>
      </w:r>
      <w:r w:rsidR="00F67336">
        <w:tab/>
      </w:r>
      <w:r w:rsidR="00F67336">
        <w:tab/>
        <w:t>(8)</w:t>
      </w:r>
    </w:p>
    <w:p w14:paraId="0FA1F5D2" w14:textId="2F769C70" w:rsidR="00AD369B" w:rsidRPr="00AD369B" w:rsidRDefault="00AD369B" w:rsidP="00184A6B">
      <w:pPr>
        <w:spacing w:line="480" w:lineRule="auto"/>
      </w:pPr>
      <w:r w:rsidRPr="00AD369B">
        <w:t>Plotting </w:t>
      </w:r>
      <w:r w:rsidRPr="00AD369B">
        <w:rPr>
          <w:i/>
          <w:iCs/>
        </w:rPr>
        <w:t>q</w:t>
      </w:r>
      <w:r w:rsidRPr="00AD369B">
        <w:rPr>
          <w:vertAlign w:val="subscript"/>
        </w:rPr>
        <w:t>e</w:t>
      </w:r>
      <w:r w:rsidRPr="00AD369B">
        <w:t> versus ln </w:t>
      </w:r>
      <w:r w:rsidRPr="00AD369B">
        <w:rPr>
          <w:i/>
          <w:iCs/>
        </w:rPr>
        <w:t>C</w:t>
      </w:r>
      <w:r w:rsidRPr="00AD369B">
        <w:rPr>
          <w:vertAlign w:val="subscript"/>
        </w:rPr>
        <w:t>e</w:t>
      </w:r>
      <w:r w:rsidRPr="00AD369B">
        <w:t> will produce a straight line with slope = </w:t>
      </w:r>
      <m:oMath>
        <m:f>
          <m:fPr>
            <m:ctrlPr>
              <w:rPr>
                <w:rFonts w:ascii="Cambria Math" w:hAnsi="Cambria Math"/>
                <w:i/>
              </w:rPr>
            </m:ctrlPr>
          </m:fPr>
          <m:num>
            <m:r>
              <w:rPr>
                <w:rFonts w:ascii="Cambria Math" w:hAnsi="Cambria Math"/>
              </w:rPr>
              <m:t>RT</m:t>
            </m:r>
          </m:num>
          <m:den>
            <m:r>
              <w:rPr>
                <w:rFonts w:ascii="Cambria Math" w:hAnsi="Cambria Math"/>
              </w:rPr>
              <m:t>b</m:t>
            </m:r>
          </m:den>
        </m:f>
      </m:oMath>
      <w:r w:rsidRPr="00AD369B">
        <w:t> and intercept = </w:t>
      </w:r>
      <m:oMath>
        <m:f>
          <m:fPr>
            <m:ctrlPr>
              <w:rPr>
                <w:rFonts w:ascii="Cambria Math" w:hAnsi="Cambria Math"/>
                <w:i/>
              </w:rPr>
            </m:ctrlPr>
          </m:fPr>
          <m:num>
            <m:r>
              <w:rPr>
                <w:rFonts w:ascii="Cambria Math" w:hAnsi="Cambria Math"/>
              </w:rPr>
              <m:t>RT</m:t>
            </m:r>
          </m:num>
          <m:den>
            <m:r>
              <w:rPr>
                <w:rFonts w:ascii="Cambria Math" w:hAnsi="Cambria Math"/>
              </w:rPr>
              <m:t>b</m:t>
            </m:r>
          </m:den>
        </m:f>
        <m:r>
          <w:rPr>
            <w:rFonts w:ascii="Cambria Math" w:hAnsi="Cambria Math"/>
          </w:rPr>
          <m:t>In</m:t>
        </m:r>
        <m:sSub>
          <m:sSubPr>
            <m:ctrlPr>
              <w:rPr>
                <w:rFonts w:ascii="Cambria Math" w:hAnsi="Cambria Math"/>
                <w:i/>
              </w:rPr>
            </m:ctrlPr>
          </m:sSubPr>
          <m:e>
            <m:r>
              <w:rPr>
                <w:rFonts w:ascii="Cambria Math" w:hAnsi="Cambria Math"/>
              </w:rPr>
              <m:t>K</m:t>
            </m:r>
          </m:e>
          <m:sub>
            <m:r>
              <w:rPr>
                <w:rFonts w:ascii="Cambria Math" w:hAnsi="Cambria Math"/>
              </w:rPr>
              <m:t>m</m:t>
            </m:r>
          </m:sub>
        </m:sSub>
      </m:oMath>
      <w:r w:rsidRPr="00AD369B">
        <w:t>.</w:t>
      </w:r>
    </w:p>
    <w:p w14:paraId="7C3B477E" w14:textId="75908152" w:rsidR="00991EFB" w:rsidRDefault="00AD369B" w:rsidP="00184A6B">
      <w:pPr>
        <w:spacing w:line="480" w:lineRule="auto"/>
      </w:pPr>
      <w:r w:rsidRPr="00AD369B">
        <w:t>As the surface coverage increases, the Temkin model assumes that the heat of adsorption of all molecules in the layer reduces linearly instead of logarithmically.</w:t>
      </w:r>
      <w:r w:rsidR="00964EB0">
        <w:fldChar w:fldCharType="begin"/>
      </w:r>
      <w:r w:rsidR="00964EB0">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fldChar w:fldCharType="separate"/>
      </w:r>
      <w:r w:rsidR="00964EB0" w:rsidRPr="00964EB0">
        <w:rPr>
          <w:rFonts w:ascii="Calibri" w:hAnsi="Calibri" w:cs="Calibri"/>
        </w:rPr>
        <w:t>(Foo &amp; Hameed, 2010)</w:t>
      </w:r>
      <w:r w:rsidR="00964EB0">
        <w:fldChar w:fldCharType="end"/>
      </w:r>
      <w:r w:rsidR="00964EB0" w:rsidRPr="00AD369B">
        <w:t xml:space="preserve"> </w:t>
      </w:r>
    </w:p>
    <w:p w14:paraId="616D531D" w14:textId="1361555A" w:rsidR="00463C46" w:rsidRPr="00AD369B" w:rsidRDefault="00463C46" w:rsidP="00184A6B">
      <w:pPr>
        <w:spacing w:line="480" w:lineRule="auto"/>
        <w:rPr>
          <w:b/>
          <w:bCs/>
        </w:rPr>
      </w:pPr>
      <w:r w:rsidRPr="00463C46">
        <w:rPr>
          <w:b/>
          <w:bCs/>
        </w:rPr>
        <w:t>Table 1. Summary of Adsorption Isotherms</w:t>
      </w:r>
    </w:p>
    <w:tbl>
      <w:tblPr>
        <w:tblStyle w:val="PlainTable2"/>
        <w:tblW w:w="9805" w:type="dxa"/>
        <w:tblLook w:val="04A0" w:firstRow="1" w:lastRow="0" w:firstColumn="1" w:lastColumn="0" w:noHBand="0" w:noVBand="1"/>
      </w:tblPr>
      <w:tblGrid>
        <w:gridCol w:w="1237"/>
        <w:gridCol w:w="1273"/>
        <w:gridCol w:w="674"/>
        <w:gridCol w:w="747"/>
        <w:gridCol w:w="895"/>
        <w:gridCol w:w="1167"/>
        <w:gridCol w:w="3812"/>
      </w:tblGrid>
      <w:tr w:rsidR="00D14BAA" w:rsidRPr="00463C46" w14:paraId="799399BF" w14:textId="2E47A12A" w:rsidTr="00B23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3B2B392" w14:textId="2AF35B78" w:rsidR="003242E9" w:rsidRPr="00463C46" w:rsidRDefault="00B23249" w:rsidP="00F82429">
            <w:pPr>
              <w:spacing w:line="360" w:lineRule="auto"/>
            </w:pPr>
            <w:r w:rsidRPr="00463C46">
              <w:t>Adsorption isotherm</w:t>
            </w:r>
          </w:p>
        </w:tc>
        <w:tc>
          <w:tcPr>
            <w:tcW w:w="1251" w:type="dxa"/>
          </w:tcPr>
          <w:p w14:paraId="499FA867" w14:textId="4E33AA65"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Number of parameters</w:t>
            </w:r>
          </w:p>
        </w:tc>
        <w:tc>
          <w:tcPr>
            <w:tcW w:w="674" w:type="dxa"/>
          </w:tcPr>
          <w:p w14:paraId="0D0C5262" w14:textId="0B4E54CF"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X</w:t>
            </w:r>
            <w:r w:rsidR="00F82429">
              <w:t xml:space="preserve"> </w:t>
            </w:r>
            <w:r w:rsidRPr="00463C46">
              <w:t>axis</w:t>
            </w:r>
          </w:p>
        </w:tc>
        <w:tc>
          <w:tcPr>
            <w:tcW w:w="751" w:type="dxa"/>
          </w:tcPr>
          <w:p w14:paraId="2CC140B6" w14:textId="0B2ACEE4"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Y</w:t>
            </w:r>
            <w:r w:rsidR="00F82429">
              <w:t xml:space="preserve">  </w:t>
            </w:r>
            <w:r w:rsidRPr="00463C46">
              <w:t>a</w:t>
            </w:r>
            <w:r w:rsidR="003242E9" w:rsidRPr="00463C46">
              <w:t>xis</w:t>
            </w:r>
          </w:p>
        </w:tc>
        <w:tc>
          <w:tcPr>
            <w:tcW w:w="900" w:type="dxa"/>
          </w:tcPr>
          <w:p w14:paraId="0CDC480F" w14:textId="1473460B"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Slope</w:t>
            </w:r>
          </w:p>
        </w:tc>
        <w:tc>
          <w:tcPr>
            <w:tcW w:w="1170" w:type="dxa"/>
          </w:tcPr>
          <w:p w14:paraId="79C514ED" w14:textId="75E325CC"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Intercept</w:t>
            </w:r>
          </w:p>
        </w:tc>
        <w:tc>
          <w:tcPr>
            <w:tcW w:w="3870" w:type="dxa"/>
          </w:tcPr>
          <w:p w14:paraId="0CFE919E" w14:textId="4A98CFF8" w:rsidR="003242E9" w:rsidRPr="00463C46" w:rsidRDefault="00B23249" w:rsidP="00F82429">
            <w:pPr>
              <w:spacing w:line="360" w:lineRule="auto"/>
              <w:cnfStyle w:val="100000000000" w:firstRow="1" w:lastRow="0" w:firstColumn="0" w:lastColumn="0" w:oddVBand="0" w:evenVBand="0" w:oddHBand="0" w:evenHBand="0" w:firstRowFirstColumn="0" w:firstRowLastColumn="0" w:lastRowFirstColumn="0" w:lastRowLastColumn="0"/>
            </w:pPr>
            <w:r w:rsidRPr="00463C46">
              <w:t>Summary</w:t>
            </w:r>
          </w:p>
        </w:tc>
      </w:tr>
      <w:tr w:rsidR="00D14BAA" w14:paraId="681268FA" w14:textId="1D250735"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E7E2B73" w14:textId="511D6528" w:rsidR="003242E9" w:rsidRDefault="006A6904" w:rsidP="00F82429">
            <w:pPr>
              <w:spacing w:line="360" w:lineRule="auto"/>
            </w:pPr>
            <w:r w:rsidRPr="006A6904">
              <w:t>Henry</w:t>
            </w:r>
          </w:p>
        </w:tc>
        <w:tc>
          <w:tcPr>
            <w:tcW w:w="1251" w:type="dxa"/>
          </w:tcPr>
          <w:p w14:paraId="3955A661" w14:textId="6FBE98A7"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674" w:type="dxa"/>
          </w:tcPr>
          <w:p w14:paraId="25DCBBA5" w14:textId="11E29BBE"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r w:rsidRPr="006A6904">
              <w:rPr>
                <w:i/>
                <w:iCs/>
              </w:rPr>
              <w:t>q</w:t>
            </w:r>
            <w:r w:rsidRPr="006A6904">
              <w:rPr>
                <w:vertAlign w:val="subscript"/>
              </w:rPr>
              <w:t>e</w:t>
            </w:r>
          </w:p>
        </w:tc>
        <w:tc>
          <w:tcPr>
            <w:tcW w:w="751" w:type="dxa"/>
          </w:tcPr>
          <w:p w14:paraId="20176BB4" w14:textId="65D1F3D4" w:rsidR="003242E9" w:rsidRDefault="006A6904" w:rsidP="00F82429">
            <w:pPr>
              <w:spacing w:line="360" w:lineRule="auto"/>
              <w:cnfStyle w:val="000000100000" w:firstRow="0" w:lastRow="0" w:firstColumn="0" w:lastColumn="0" w:oddVBand="0" w:evenVBand="0" w:oddHBand="1" w:evenHBand="0" w:firstRowFirstColumn="0" w:firstRowLastColumn="0" w:lastRowFirstColumn="0" w:lastRowLastColumn="0"/>
            </w:pPr>
            <w:r w:rsidRPr="006A6904">
              <w:rPr>
                <w:i/>
                <w:iCs/>
              </w:rPr>
              <w:t>C</w:t>
            </w:r>
            <w:r w:rsidRPr="006A6904">
              <w:rPr>
                <w:vertAlign w:val="subscript"/>
              </w:rPr>
              <w:t>e</w:t>
            </w:r>
          </w:p>
        </w:tc>
        <w:tc>
          <w:tcPr>
            <w:tcW w:w="900" w:type="dxa"/>
          </w:tcPr>
          <w:p w14:paraId="3D8BAC29" w14:textId="61D7C882" w:rsidR="003242E9" w:rsidRDefault="00B20593" w:rsidP="00F82429">
            <w:pPr>
              <w:spacing w:line="360" w:lineRule="auto"/>
              <w:cnfStyle w:val="000000100000" w:firstRow="0" w:lastRow="0" w:firstColumn="0" w:lastColumn="0" w:oddVBand="0" w:evenVBand="0" w:oddHBand="1" w:evenHBand="0" w:firstRowFirstColumn="0" w:firstRowLastColumn="0" w:lastRowFirstColumn="0" w:lastRowLastColumn="0"/>
            </w:pPr>
            <w:r w:rsidRPr="00B20593">
              <w:rPr>
                <w:i/>
                <w:iCs/>
              </w:rPr>
              <w:t>K</w:t>
            </w:r>
            <w:r w:rsidRPr="00B20593">
              <w:rPr>
                <w:vertAlign w:val="subscript"/>
              </w:rPr>
              <w:t>HE</w:t>
            </w:r>
          </w:p>
        </w:tc>
        <w:tc>
          <w:tcPr>
            <w:tcW w:w="1170" w:type="dxa"/>
          </w:tcPr>
          <w:p w14:paraId="32587D95" w14:textId="4238A695" w:rsidR="003242E9" w:rsidRDefault="00B20593" w:rsidP="00F82429">
            <w:pPr>
              <w:spacing w:line="360" w:lineRule="auto"/>
              <w:cnfStyle w:val="000000100000" w:firstRow="0" w:lastRow="0" w:firstColumn="0" w:lastColumn="0" w:oddVBand="0" w:evenVBand="0" w:oddHBand="1" w:evenHBand="0" w:firstRowFirstColumn="0" w:firstRowLastColumn="0" w:lastRowFirstColumn="0" w:lastRowLastColumn="0"/>
            </w:pPr>
            <w:r>
              <w:t>No-intercept</w:t>
            </w:r>
          </w:p>
        </w:tc>
        <w:tc>
          <w:tcPr>
            <w:tcW w:w="3870" w:type="dxa"/>
          </w:tcPr>
          <w:p w14:paraId="3B1C8073" w14:textId="77777777" w:rsidR="006D5E9B" w:rsidRDefault="002A32E0" w:rsidP="00F82429">
            <w:pPr>
              <w:pStyle w:val="ListParagraph"/>
              <w:numPr>
                <w:ilvl w:val="0"/>
                <w:numId w:val="3"/>
              </w:numPr>
              <w:spacing w:line="360" w:lineRule="auto"/>
              <w:ind w:left="200" w:hanging="200"/>
              <w:cnfStyle w:val="000000100000" w:firstRow="0" w:lastRow="0" w:firstColumn="0" w:lastColumn="0" w:oddVBand="0" w:evenVBand="0" w:oddHBand="1" w:evenHBand="0" w:firstRowFirstColumn="0" w:firstRowLastColumn="0" w:lastRowFirstColumn="0" w:lastRowLastColumn="0"/>
            </w:pPr>
            <w:r w:rsidRPr="002A32E0">
              <w:t>the simplest adsorption isotherm; assumes a linear relationship between adsorbed amount and adsorbate bulk concentration</w:t>
            </w:r>
          </w:p>
          <w:p w14:paraId="3092478F" w14:textId="469FB591" w:rsidR="003242E9" w:rsidRDefault="006D5E9B" w:rsidP="00F82429">
            <w:pPr>
              <w:pStyle w:val="ListParagraph"/>
              <w:numPr>
                <w:ilvl w:val="0"/>
                <w:numId w:val="3"/>
              </w:numPr>
              <w:spacing w:line="360" w:lineRule="auto"/>
              <w:ind w:left="200" w:hanging="200"/>
              <w:cnfStyle w:val="000000100000" w:firstRow="0" w:lastRow="0" w:firstColumn="0" w:lastColumn="0" w:oddVBand="0" w:evenVBand="0" w:oddHBand="1" w:evenHBand="0" w:firstRowFirstColumn="0" w:firstRowLastColumn="0" w:lastRowFirstColumn="0" w:lastRowLastColumn="0"/>
            </w:pPr>
            <w:r w:rsidRPr="006D5E9B">
              <w:lastRenderedPageBreak/>
              <w:t>applicable for low solute concentrations o</w:t>
            </w:r>
            <w:r w:rsidR="002A32E0" w:rsidRPr="002A32E0">
              <w:tab/>
            </w:r>
          </w:p>
        </w:tc>
      </w:tr>
      <w:tr w:rsidR="00D14BAA" w:rsidRPr="008B2D5E" w14:paraId="14330DA3"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6BA24948" w14:textId="77E85E19" w:rsidR="006D5E9B" w:rsidRPr="008B2D5E" w:rsidRDefault="006D5E9B" w:rsidP="00F82429">
            <w:pPr>
              <w:spacing w:line="360" w:lineRule="auto"/>
            </w:pPr>
            <w:r w:rsidRPr="008B2D5E">
              <w:lastRenderedPageBreak/>
              <w:t>Langmuir</w:t>
            </w:r>
          </w:p>
        </w:tc>
        <w:tc>
          <w:tcPr>
            <w:tcW w:w="1251" w:type="dxa"/>
          </w:tcPr>
          <w:p w14:paraId="4BE2301D" w14:textId="286ED7F3" w:rsidR="006D5E9B" w:rsidRPr="008B2D5E" w:rsidRDefault="006D5E9B"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2</w:t>
            </w:r>
          </w:p>
        </w:tc>
        <w:tc>
          <w:tcPr>
            <w:tcW w:w="674" w:type="dxa"/>
          </w:tcPr>
          <w:p w14:paraId="3F5CA42C" w14:textId="32018F25" w:rsidR="006D5E9B" w:rsidRPr="008B2D5E" w:rsidRDefault="008B2D5E"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C</w:t>
            </w:r>
            <w:r w:rsidRPr="008B2D5E">
              <w:rPr>
                <w:vertAlign w:val="subscript"/>
              </w:rPr>
              <w:t>e</w:t>
            </w:r>
            <w:r w:rsidRPr="008B2D5E">
              <w:t>/q</w:t>
            </w:r>
            <w:r w:rsidRPr="008B2D5E">
              <w:rPr>
                <w:vertAlign w:val="subscript"/>
              </w:rPr>
              <w:t>e</w:t>
            </w:r>
          </w:p>
        </w:tc>
        <w:tc>
          <w:tcPr>
            <w:tcW w:w="751" w:type="dxa"/>
          </w:tcPr>
          <w:p w14:paraId="60130B71" w14:textId="574F9C9C" w:rsidR="006D5E9B" w:rsidRPr="008B2D5E" w:rsidRDefault="008B2D5E" w:rsidP="00F82429">
            <w:pPr>
              <w:spacing w:line="360" w:lineRule="auto"/>
              <w:cnfStyle w:val="000000000000" w:firstRow="0" w:lastRow="0" w:firstColumn="0" w:lastColumn="0" w:oddVBand="0" w:evenVBand="0" w:oddHBand="0" w:evenHBand="0" w:firstRowFirstColumn="0" w:firstRowLastColumn="0" w:lastRowFirstColumn="0" w:lastRowLastColumn="0"/>
            </w:pPr>
            <w:r w:rsidRPr="008B2D5E">
              <w:t>C</w:t>
            </w:r>
            <w:r w:rsidRPr="008B2D5E">
              <w:rPr>
                <w:vertAlign w:val="subscript"/>
              </w:rPr>
              <w:t>e</w:t>
            </w:r>
          </w:p>
        </w:tc>
        <w:tc>
          <w:tcPr>
            <w:tcW w:w="900" w:type="dxa"/>
          </w:tcPr>
          <w:p w14:paraId="55AAD7A0" w14:textId="53A53461" w:rsidR="006D5E9B" w:rsidRPr="008B2D5E" w:rsidRDefault="00BC1D85" w:rsidP="00F82429">
            <w:pPr>
              <w:spacing w:line="360" w:lineRule="auto"/>
              <w:cnfStyle w:val="000000000000" w:firstRow="0" w:lastRow="0" w:firstColumn="0" w:lastColumn="0" w:oddVBand="0" w:evenVBand="0" w:oddHBand="0" w:evenHBand="0" w:firstRowFirstColumn="0" w:firstRowLastColumn="0" w:lastRowFirstColumn="0" w:lastRowLastColumn="0"/>
            </w:pPr>
            <w:r w:rsidRPr="00BC1D85">
              <w:t>1/</w:t>
            </w:r>
            <w:r w:rsidRPr="00BC1D85">
              <w:rPr>
                <w:i/>
                <w:iCs/>
              </w:rPr>
              <w:t>q</w:t>
            </w:r>
            <w:r w:rsidRPr="00BC1D85">
              <w:rPr>
                <w:vertAlign w:val="subscript"/>
              </w:rPr>
              <w:t>o</w:t>
            </w:r>
          </w:p>
        </w:tc>
        <w:tc>
          <w:tcPr>
            <w:tcW w:w="1170" w:type="dxa"/>
          </w:tcPr>
          <w:p w14:paraId="161EEC58" w14:textId="3977CDF6" w:rsidR="006D5E9B" w:rsidRPr="0084131E" w:rsidRDefault="00D41154" w:rsidP="00F82429">
            <w:pPr>
              <w:spacing w:line="360" w:lineRule="auto"/>
              <w:cnfStyle w:val="000000000000" w:firstRow="0" w:lastRow="0" w:firstColumn="0" w:lastColumn="0" w:oddVBand="0" w:evenVBand="0" w:oddHBand="0" w:evenHBand="0" w:firstRowFirstColumn="0" w:firstRowLastColumn="0" w:lastRowFirstColumn="0" w:lastRowLastColumn="0"/>
              <w:rPr>
                <w:vertAlign w:val="subscript"/>
              </w:rPr>
            </w:pPr>
            <w:r>
              <w:t>1/ K</w:t>
            </w:r>
            <w:r>
              <w:rPr>
                <w:vertAlign w:val="subscript"/>
              </w:rPr>
              <w:t>1</w:t>
            </w:r>
            <w:r w:rsidR="0084131E">
              <w:t>q</w:t>
            </w:r>
            <w:r w:rsidR="0084131E">
              <w:rPr>
                <w:vertAlign w:val="subscript"/>
              </w:rPr>
              <w:t>1</w:t>
            </w:r>
          </w:p>
        </w:tc>
        <w:tc>
          <w:tcPr>
            <w:tcW w:w="3870" w:type="dxa"/>
          </w:tcPr>
          <w:p w14:paraId="1A4EA1CA" w14:textId="77777777" w:rsidR="006D5E9B" w:rsidRDefault="0084131E" w:rsidP="00F82429">
            <w:pPr>
              <w:pStyle w:val="ListParagraph"/>
              <w:numPr>
                <w:ilvl w:val="0"/>
                <w:numId w:val="4"/>
              </w:numPr>
              <w:spacing w:line="360" w:lineRule="auto"/>
              <w:ind w:left="200" w:hanging="200"/>
              <w:cnfStyle w:val="000000000000" w:firstRow="0" w:lastRow="0" w:firstColumn="0" w:lastColumn="0" w:oddVBand="0" w:evenVBand="0" w:oddHBand="0" w:evenHBand="0" w:firstRowFirstColumn="0" w:firstRowLastColumn="0" w:lastRowFirstColumn="0" w:lastRowLastColumn="0"/>
            </w:pPr>
            <w:r w:rsidRPr="0084131E">
              <w:t>monolayer adsorption</w:t>
            </w:r>
          </w:p>
          <w:p w14:paraId="3B5DAFEE" w14:textId="28630EB7" w:rsidR="00EB0479" w:rsidRPr="008B2D5E" w:rsidRDefault="00EB0479" w:rsidP="00F82429">
            <w:pPr>
              <w:pStyle w:val="ListParagraph"/>
              <w:numPr>
                <w:ilvl w:val="0"/>
                <w:numId w:val="4"/>
              </w:numPr>
              <w:spacing w:line="360" w:lineRule="auto"/>
              <w:ind w:left="200" w:hanging="200"/>
              <w:cnfStyle w:val="000000000000" w:firstRow="0" w:lastRow="0" w:firstColumn="0" w:lastColumn="0" w:oddVBand="0" w:evenVBand="0" w:oddHBand="0" w:evenHBand="0" w:firstRowFirstColumn="0" w:firstRowLastColumn="0" w:lastRowFirstColumn="0" w:lastRowLastColumn="0"/>
            </w:pPr>
            <w:r w:rsidRPr="00EB0479">
              <w:t>homogeneous solid surfaces</w:t>
            </w:r>
          </w:p>
        </w:tc>
      </w:tr>
      <w:tr w:rsidR="00B23249" w:rsidRPr="008B2D5E" w14:paraId="528073DA" w14:textId="77777777"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BA4C960" w14:textId="3E6B3F6F" w:rsidR="0084131E" w:rsidRPr="008B2D5E" w:rsidRDefault="00EB0479" w:rsidP="00F82429">
            <w:pPr>
              <w:spacing w:line="360" w:lineRule="auto"/>
            </w:pPr>
            <w:r w:rsidRPr="00EB0479">
              <w:t>Freundlich</w:t>
            </w:r>
          </w:p>
        </w:tc>
        <w:tc>
          <w:tcPr>
            <w:tcW w:w="1251" w:type="dxa"/>
          </w:tcPr>
          <w:p w14:paraId="1BCE3A60" w14:textId="336D54C0" w:rsidR="0084131E" w:rsidRPr="008B2D5E" w:rsidRDefault="00EB0479" w:rsidP="00F82429">
            <w:pPr>
              <w:spacing w:line="360" w:lineRule="auto"/>
              <w:cnfStyle w:val="000000100000" w:firstRow="0" w:lastRow="0" w:firstColumn="0" w:lastColumn="0" w:oddVBand="0" w:evenVBand="0" w:oddHBand="1" w:evenHBand="0" w:firstRowFirstColumn="0" w:firstRowLastColumn="0" w:lastRowFirstColumn="0" w:lastRowLastColumn="0"/>
            </w:pPr>
            <w:r>
              <w:t>2</w:t>
            </w:r>
          </w:p>
        </w:tc>
        <w:tc>
          <w:tcPr>
            <w:tcW w:w="674" w:type="dxa"/>
          </w:tcPr>
          <w:p w14:paraId="51A227D3" w14:textId="234940E5" w:rsidR="0084131E" w:rsidRPr="008B2D5E" w:rsidRDefault="00EB0479" w:rsidP="00F82429">
            <w:pPr>
              <w:spacing w:line="360" w:lineRule="auto"/>
              <w:cnfStyle w:val="000000100000" w:firstRow="0" w:lastRow="0" w:firstColumn="0" w:lastColumn="0" w:oddVBand="0" w:evenVBand="0" w:oddHBand="1" w:evenHBand="0" w:firstRowFirstColumn="0" w:firstRowLastColumn="0" w:lastRowFirstColumn="0" w:lastRowLastColumn="0"/>
            </w:pPr>
            <w:r w:rsidRPr="00EB0479">
              <w:t>ln </w:t>
            </w:r>
            <w:r w:rsidRPr="00EB0479">
              <w:rPr>
                <w:i/>
                <w:iCs/>
              </w:rPr>
              <w:t>q</w:t>
            </w:r>
            <w:r w:rsidRPr="00EB0479">
              <w:rPr>
                <w:vertAlign w:val="subscript"/>
              </w:rPr>
              <w:t>e</w:t>
            </w:r>
          </w:p>
        </w:tc>
        <w:tc>
          <w:tcPr>
            <w:tcW w:w="751" w:type="dxa"/>
          </w:tcPr>
          <w:p w14:paraId="54DEB746" w14:textId="4F428869" w:rsidR="0084131E" w:rsidRPr="008B2D5E" w:rsidRDefault="00404E08" w:rsidP="00F82429">
            <w:pPr>
              <w:spacing w:line="360" w:lineRule="auto"/>
              <w:cnfStyle w:val="000000100000" w:firstRow="0" w:lastRow="0" w:firstColumn="0" w:lastColumn="0" w:oddVBand="0" w:evenVBand="0" w:oddHBand="1" w:evenHBand="0" w:firstRowFirstColumn="0" w:firstRowLastColumn="0" w:lastRowFirstColumn="0" w:lastRowLastColumn="0"/>
            </w:pPr>
            <w:r w:rsidRPr="00404E08">
              <w:t>ln </w:t>
            </w:r>
            <w:r w:rsidRPr="00404E08">
              <w:rPr>
                <w:i/>
                <w:iCs/>
              </w:rPr>
              <w:t>C</w:t>
            </w:r>
            <w:r w:rsidRPr="00404E08">
              <w:rPr>
                <w:vertAlign w:val="subscript"/>
              </w:rPr>
              <w:t>e</w:t>
            </w:r>
          </w:p>
        </w:tc>
        <w:tc>
          <w:tcPr>
            <w:tcW w:w="900" w:type="dxa"/>
          </w:tcPr>
          <w:p w14:paraId="7F29C84D" w14:textId="31A44095" w:rsidR="0084131E" w:rsidRPr="00BC1D85" w:rsidRDefault="00672F3C" w:rsidP="00F82429">
            <w:pPr>
              <w:spacing w:line="360" w:lineRule="auto"/>
              <w:cnfStyle w:val="000000100000" w:firstRow="0" w:lastRow="0" w:firstColumn="0" w:lastColumn="0" w:oddVBand="0" w:evenVBand="0" w:oddHBand="1" w:evenHBand="0" w:firstRowFirstColumn="0" w:firstRowLastColumn="0" w:lastRowFirstColumn="0" w:lastRowLastColumn="0"/>
            </w:pPr>
            <w:r w:rsidRPr="00672F3C">
              <w:t>1/</w:t>
            </w:r>
            <w:r w:rsidRPr="00672F3C">
              <w:rPr>
                <w:i/>
                <w:iCs/>
              </w:rPr>
              <w:t>n</w:t>
            </w:r>
          </w:p>
        </w:tc>
        <w:tc>
          <w:tcPr>
            <w:tcW w:w="1170" w:type="dxa"/>
          </w:tcPr>
          <w:p w14:paraId="00F623F1" w14:textId="4636C406" w:rsidR="0084131E" w:rsidRDefault="00672F3C" w:rsidP="00F82429">
            <w:pPr>
              <w:spacing w:line="360" w:lineRule="auto"/>
              <w:cnfStyle w:val="000000100000" w:firstRow="0" w:lastRow="0" w:firstColumn="0" w:lastColumn="0" w:oddVBand="0" w:evenVBand="0" w:oddHBand="1" w:evenHBand="0" w:firstRowFirstColumn="0" w:firstRowLastColumn="0" w:lastRowFirstColumn="0" w:lastRowLastColumn="0"/>
            </w:pPr>
            <w:r w:rsidRPr="00672F3C">
              <w:t>ln b</w:t>
            </w:r>
          </w:p>
        </w:tc>
        <w:tc>
          <w:tcPr>
            <w:tcW w:w="3870" w:type="dxa"/>
          </w:tcPr>
          <w:p w14:paraId="54E87E4B" w14:textId="77777777" w:rsidR="0084131E"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applicable for multilayer adsorption</w:t>
            </w:r>
          </w:p>
          <w:p w14:paraId="6CF10404" w14:textId="77777777" w:rsidR="00CF6E26"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suitable for heterogeneous surfaces</w:t>
            </w:r>
          </w:p>
          <w:p w14:paraId="7DCD92AA" w14:textId="7EDE9DCD" w:rsidR="00CF6E26" w:rsidRDefault="00CF6E26" w:rsidP="00F82429">
            <w:pPr>
              <w:pStyle w:val="ListParagraph"/>
              <w:numPr>
                <w:ilvl w:val="0"/>
                <w:numId w:val="5"/>
              </w:numPr>
              <w:spacing w:line="360" w:lineRule="auto"/>
              <w:ind w:left="198" w:hanging="198"/>
              <w:cnfStyle w:val="000000100000" w:firstRow="0" w:lastRow="0" w:firstColumn="0" w:lastColumn="0" w:oddVBand="0" w:evenVBand="0" w:oddHBand="1" w:evenHBand="0" w:firstRowFirstColumn="0" w:firstRowLastColumn="0" w:lastRowFirstColumn="0" w:lastRowLastColumn="0"/>
            </w:pPr>
            <w:r w:rsidRPr="00CF6E26">
              <w:t>not valid for a large range of adsorption data</w:t>
            </w:r>
          </w:p>
        </w:tc>
      </w:tr>
      <w:tr w:rsidR="00B23249" w:rsidRPr="008B2D5E" w14:paraId="1D2B6FE7"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74F72B18" w14:textId="089EDC2F" w:rsidR="00CF6E26" w:rsidRPr="00EB0479" w:rsidRDefault="00CF6E26" w:rsidP="00F82429">
            <w:pPr>
              <w:spacing w:line="360" w:lineRule="auto"/>
            </w:pPr>
            <w:r w:rsidRPr="00CF6E26">
              <w:t>Temkin</w:t>
            </w:r>
          </w:p>
        </w:tc>
        <w:tc>
          <w:tcPr>
            <w:tcW w:w="1251" w:type="dxa"/>
          </w:tcPr>
          <w:p w14:paraId="493D2F87" w14:textId="51719A4A" w:rsidR="00CF6E26" w:rsidRDefault="00CF6E26" w:rsidP="00F82429">
            <w:pPr>
              <w:spacing w:line="360" w:lineRule="auto"/>
              <w:cnfStyle w:val="000000000000" w:firstRow="0" w:lastRow="0" w:firstColumn="0" w:lastColumn="0" w:oddVBand="0" w:evenVBand="0" w:oddHBand="0" w:evenHBand="0" w:firstRowFirstColumn="0" w:firstRowLastColumn="0" w:lastRowFirstColumn="0" w:lastRowLastColumn="0"/>
            </w:pPr>
            <w:r>
              <w:t>2</w:t>
            </w:r>
          </w:p>
        </w:tc>
        <w:tc>
          <w:tcPr>
            <w:tcW w:w="674" w:type="dxa"/>
          </w:tcPr>
          <w:p w14:paraId="4B5538F7" w14:textId="086D9743" w:rsidR="00CF6E26" w:rsidRPr="00EB0479" w:rsidRDefault="00CF6E26" w:rsidP="00F82429">
            <w:pPr>
              <w:spacing w:line="360" w:lineRule="auto"/>
              <w:cnfStyle w:val="000000000000" w:firstRow="0" w:lastRow="0" w:firstColumn="0" w:lastColumn="0" w:oddVBand="0" w:evenVBand="0" w:oddHBand="0" w:evenHBand="0" w:firstRowFirstColumn="0" w:firstRowLastColumn="0" w:lastRowFirstColumn="0" w:lastRowLastColumn="0"/>
            </w:pPr>
            <w:r w:rsidRPr="00CF6E26">
              <w:rPr>
                <w:i/>
                <w:iCs/>
              </w:rPr>
              <w:t>q</w:t>
            </w:r>
            <w:r w:rsidRPr="00CF6E26">
              <w:rPr>
                <w:vertAlign w:val="subscript"/>
              </w:rPr>
              <w:t>e</w:t>
            </w:r>
          </w:p>
        </w:tc>
        <w:tc>
          <w:tcPr>
            <w:tcW w:w="751" w:type="dxa"/>
          </w:tcPr>
          <w:p w14:paraId="1F773D4A" w14:textId="064E0717" w:rsidR="00CF6E26" w:rsidRPr="00404E08" w:rsidRDefault="009C5436" w:rsidP="00F82429">
            <w:pPr>
              <w:spacing w:line="360" w:lineRule="auto"/>
              <w:cnfStyle w:val="000000000000" w:firstRow="0" w:lastRow="0" w:firstColumn="0" w:lastColumn="0" w:oddVBand="0" w:evenVBand="0" w:oddHBand="0" w:evenHBand="0" w:firstRowFirstColumn="0" w:firstRowLastColumn="0" w:lastRowFirstColumn="0" w:lastRowLastColumn="0"/>
            </w:pPr>
            <w:r w:rsidRPr="009C5436">
              <w:t>ln </w:t>
            </w:r>
            <w:r w:rsidRPr="009C5436">
              <w:rPr>
                <w:i/>
                <w:iCs/>
              </w:rPr>
              <w:t>C</w:t>
            </w:r>
            <w:r w:rsidRPr="009C5436">
              <w:rPr>
                <w:vertAlign w:val="subscript"/>
              </w:rPr>
              <w:t>e</w:t>
            </w:r>
          </w:p>
        </w:tc>
        <w:tc>
          <w:tcPr>
            <w:tcW w:w="900" w:type="dxa"/>
          </w:tcPr>
          <w:p w14:paraId="3C770664" w14:textId="61F76EDA" w:rsidR="00CF6E26" w:rsidRPr="00FB25C7" w:rsidRDefault="00DD5BA9" w:rsidP="00F82429">
            <w:pPr>
              <w:spacing w:line="360" w:lineRule="auto"/>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RT</m:t>
                    </m:r>
                  </m:num>
                  <m:den>
                    <m:r>
                      <w:rPr>
                        <w:rFonts w:ascii="Cambria Math" w:hAnsi="Cambria Math"/>
                      </w:rPr>
                      <m:t>b</m:t>
                    </m:r>
                  </m:den>
                </m:f>
              </m:oMath>
            </m:oMathPara>
          </w:p>
        </w:tc>
        <w:tc>
          <w:tcPr>
            <w:tcW w:w="1170" w:type="dxa"/>
          </w:tcPr>
          <w:p w14:paraId="3D3D013F" w14:textId="617E9A19" w:rsidR="00CF6E26" w:rsidRPr="00672F3C" w:rsidRDefault="00BB5FBF" w:rsidP="00F82429">
            <w:pPr>
              <w:spacing w:line="360" w:lineRule="auto"/>
              <w:ind w:left="720"/>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sz w:val="20"/>
                        <w:szCs w:val="20"/>
                      </w:rPr>
                    </m:ctrlPr>
                  </m:fPr>
                  <m:num>
                    <m:r>
                      <m:rPr>
                        <m:nor/>
                      </m:rPr>
                      <w:rPr>
                        <w:rFonts w:ascii="Cambria Math" w:hAnsi="Cambria Math"/>
                        <w:sz w:val="20"/>
                        <w:szCs w:val="20"/>
                      </w:rPr>
                      <m:t>RT</m:t>
                    </m:r>
                  </m:num>
                  <m:den>
                    <m:r>
                      <m:rPr>
                        <m:nor/>
                      </m:rPr>
                      <w:rPr>
                        <w:rFonts w:ascii="Cambria Math" w:hAnsi="Cambria Math"/>
                        <w:sz w:val="20"/>
                        <w:szCs w:val="20"/>
                      </w:rPr>
                      <m:t>b</m:t>
                    </m:r>
                  </m:den>
                </m:f>
                <m:r>
                  <m:rPr>
                    <m:nor/>
                  </m:rPr>
                  <w:rPr>
                    <w:rFonts w:ascii="Cambria Math" w:hAnsi="Cambria Math"/>
                    <w:sz w:val="20"/>
                    <w:szCs w:val="20"/>
                  </w:rPr>
                  <m:t>In</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oMath>
            </m:oMathPara>
          </w:p>
        </w:tc>
        <w:tc>
          <w:tcPr>
            <w:tcW w:w="3870" w:type="dxa"/>
          </w:tcPr>
          <w:p w14:paraId="51C87641" w14:textId="77777777" w:rsidR="005F364A" w:rsidRDefault="005F364A" w:rsidP="00F82429">
            <w:pPr>
              <w:pStyle w:val="ListParagraph"/>
              <w:numPr>
                <w:ilvl w:val="0"/>
                <w:numId w:val="6"/>
              </w:numPr>
              <w:spacing w:line="360" w:lineRule="auto"/>
              <w:ind w:left="198" w:hanging="198"/>
              <w:cnfStyle w:val="000000000000" w:firstRow="0" w:lastRow="0" w:firstColumn="0" w:lastColumn="0" w:oddVBand="0" w:evenVBand="0" w:oddHBand="0" w:evenHBand="0" w:firstRowFirstColumn="0" w:firstRowLastColumn="0" w:lastRowFirstColumn="0" w:lastRowLastColumn="0"/>
            </w:pPr>
            <w:r w:rsidRPr="005F364A">
              <w:t>considers interaction between adsorbent and the adsorbate</w:t>
            </w:r>
          </w:p>
          <w:p w14:paraId="68659C56" w14:textId="59D56ACF" w:rsidR="00CF6E26" w:rsidRPr="00CF6E26" w:rsidRDefault="005F364A" w:rsidP="00F82429">
            <w:pPr>
              <w:pStyle w:val="ListParagraph"/>
              <w:numPr>
                <w:ilvl w:val="0"/>
                <w:numId w:val="6"/>
              </w:numPr>
              <w:spacing w:line="360" w:lineRule="auto"/>
              <w:ind w:left="198" w:hanging="198"/>
              <w:cnfStyle w:val="000000000000" w:firstRow="0" w:lastRow="0" w:firstColumn="0" w:lastColumn="0" w:oddVBand="0" w:evenVBand="0" w:oddHBand="0" w:evenHBand="0" w:firstRowFirstColumn="0" w:firstRowLastColumn="0" w:lastRowFirstColumn="0" w:lastRowLastColumn="0"/>
            </w:pPr>
            <w:r w:rsidRPr="005F364A">
              <w:t>with increase in surface coverage, the heat of adsorption of all molecules in the layer is decreases linearly instead of logarithmically</w:t>
            </w:r>
            <w:r w:rsidRPr="005F364A">
              <w:tab/>
            </w:r>
          </w:p>
        </w:tc>
      </w:tr>
    </w:tbl>
    <w:p w14:paraId="300AC80A" w14:textId="77777777" w:rsidR="00AD369B" w:rsidRPr="00B2352C" w:rsidRDefault="00AD369B" w:rsidP="00184A6B">
      <w:pPr>
        <w:spacing w:line="480" w:lineRule="auto"/>
      </w:pPr>
    </w:p>
    <w:p w14:paraId="41ACBEEA" w14:textId="74CAC796" w:rsidR="00E768D0" w:rsidRPr="00564BB2" w:rsidRDefault="00BB776C"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2.5</w:t>
      </w:r>
      <w:r w:rsidRPr="00564BB2">
        <w:rPr>
          <w:rFonts w:ascii="Times New Roman" w:hAnsi="Times New Roman" w:cs="Times New Roman"/>
          <w:color w:val="auto"/>
          <w:sz w:val="24"/>
          <w:szCs w:val="24"/>
        </w:rPr>
        <w:tab/>
        <w:t>ADSORPTION THERMODYNAMICS</w:t>
      </w:r>
    </w:p>
    <w:p w14:paraId="38EC3329" w14:textId="1CC689B9" w:rsidR="005F5B43" w:rsidRPr="00564BB2" w:rsidRDefault="00BB776C" w:rsidP="00184A6B">
      <w:pPr>
        <w:spacing w:line="480" w:lineRule="auto"/>
        <w:rPr>
          <w:rFonts w:ascii="Times New Roman" w:eastAsiaTheme="majorEastAsia" w:hAnsi="Times New Roman" w:cs="Times New Roman"/>
          <w:sz w:val="24"/>
          <w:szCs w:val="24"/>
        </w:rPr>
      </w:pPr>
      <w:r w:rsidRPr="00564BB2">
        <w:rPr>
          <w:rFonts w:ascii="Times New Roman" w:hAnsi="Times New Roman" w:cs="Times New Roman"/>
          <w:sz w:val="24"/>
          <w:szCs w:val="24"/>
        </w:rPr>
        <w:br w:type="page"/>
      </w:r>
    </w:p>
    <w:p w14:paraId="44B8F90D" w14:textId="011C6C4A" w:rsidR="002825BF" w:rsidRPr="00564BB2" w:rsidRDefault="005F5B43" w:rsidP="00184A6B">
      <w:pPr>
        <w:pStyle w:val="Heading1"/>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lastRenderedPageBreak/>
        <w:t>Chapter three</w:t>
      </w:r>
    </w:p>
    <w:p w14:paraId="67A2C1CB" w14:textId="77777777" w:rsidR="005F5B43" w:rsidRPr="00564BB2" w:rsidRDefault="005F5B43" w:rsidP="00184A6B">
      <w:pPr>
        <w:spacing w:line="480" w:lineRule="auto"/>
        <w:rPr>
          <w:rFonts w:ascii="Times New Roman" w:hAnsi="Times New Roman" w:cs="Times New Roman"/>
          <w:sz w:val="24"/>
          <w:szCs w:val="24"/>
        </w:rPr>
      </w:pPr>
    </w:p>
    <w:p w14:paraId="710030E1" w14:textId="2337F720" w:rsidR="005F5B43"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3.1</w:t>
      </w:r>
      <w:r w:rsidRPr="00564BB2">
        <w:rPr>
          <w:rFonts w:ascii="Times New Roman" w:hAnsi="Times New Roman" w:cs="Times New Roman"/>
          <w:color w:val="auto"/>
          <w:sz w:val="24"/>
          <w:szCs w:val="24"/>
        </w:rPr>
        <w:tab/>
        <w:t>Material and Reagent used</w:t>
      </w:r>
    </w:p>
    <w:p w14:paraId="4AA30857" w14:textId="77777777" w:rsidR="009E1BE2" w:rsidRPr="00564BB2" w:rsidRDefault="009E1BE2" w:rsidP="00184A6B">
      <w:pPr>
        <w:spacing w:line="480" w:lineRule="auto"/>
        <w:rPr>
          <w:rFonts w:ascii="Times New Roman" w:hAnsi="Times New Roman" w:cs="Times New Roman"/>
          <w:sz w:val="24"/>
          <w:szCs w:val="24"/>
        </w:rPr>
      </w:pPr>
    </w:p>
    <w:p w14:paraId="3C1A8F53" w14:textId="0EA59DC8" w:rsidR="009E1BE2"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3.2</w:t>
      </w:r>
      <w:r w:rsidRPr="00564BB2">
        <w:rPr>
          <w:rFonts w:ascii="Times New Roman" w:hAnsi="Times New Roman" w:cs="Times New Roman"/>
          <w:color w:val="auto"/>
          <w:sz w:val="24"/>
          <w:szCs w:val="24"/>
        </w:rPr>
        <w:tab/>
        <w:t>Apparatus and Equipment</w:t>
      </w:r>
    </w:p>
    <w:p w14:paraId="38FFD485" w14:textId="77777777" w:rsidR="009E1BE2" w:rsidRPr="00564BB2" w:rsidRDefault="009E1BE2" w:rsidP="00184A6B">
      <w:pPr>
        <w:spacing w:line="480" w:lineRule="auto"/>
        <w:rPr>
          <w:rFonts w:ascii="Times New Roman" w:hAnsi="Times New Roman" w:cs="Times New Roman"/>
          <w:sz w:val="24"/>
          <w:szCs w:val="24"/>
        </w:rPr>
      </w:pPr>
    </w:p>
    <w:p w14:paraId="21C1EF8D" w14:textId="627EB010" w:rsidR="009E1BE2" w:rsidRPr="00564BB2" w:rsidRDefault="009E1B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3.3</w:t>
      </w:r>
      <w:r w:rsidRPr="00564BB2">
        <w:rPr>
          <w:rFonts w:ascii="Times New Roman" w:hAnsi="Times New Roman" w:cs="Times New Roman"/>
          <w:color w:val="auto"/>
          <w:sz w:val="24"/>
          <w:szCs w:val="24"/>
        </w:rPr>
        <w:tab/>
        <w:t>Chemicals</w:t>
      </w:r>
    </w:p>
    <w:p w14:paraId="2CF15A7C" w14:textId="77777777" w:rsidR="004B0F1D" w:rsidRPr="00564BB2" w:rsidRDefault="004B0F1D" w:rsidP="00184A6B">
      <w:pPr>
        <w:spacing w:line="480" w:lineRule="auto"/>
        <w:rPr>
          <w:rFonts w:ascii="Times New Roman" w:hAnsi="Times New Roman" w:cs="Times New Roman"/>
          <w:sz w:val="24"/>
          <w:szCs w:val="24"/>
        </w:rPr>
      </w:pPr>
    </w:p>
    <w:p w14:paraId="3ACC0515" w14:textId="1831D3CA" w:rsidR="004B0F1D" w:rsidRPr="00564BB2" w:rsidRDefault="004B0F1D"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3.4</w:t>
      </w:r>
      <w:r w:rsidRPr="00564BB2">
        <w:rPr>
          <w:rFonts w:ascii="Times New Roman" w:hAnsi="Times New Roman" w:cs="Times New Roman"/>
          <w:color w:val="auto"/>
          <w:sz w:val="24"/>
          <w:szCs w:val="24"/>
        </w:rPr>
        <w:tab/>
        <w:t xml:space="preserve">Synthesis of Cerium doped </w:t>
      </w:r>
      <w:r w:rsidR="0017540B" w:rsidRPr="00564BB2">
        <w:rPr>
          <w:rFonts w:ascii="Times New Roman" w:hAnsi="Times New Roman" w:cs="Times New Roman"/>
          <w:color w:val="auto"/>
          <w:sz w:val="24"/>
          <w:szCs w:val="24"/>
        </w:rPr>
        <w:t>Iron (</w:t>
      </w:r>
      <w:r w:rsidR="0017540B" w:rsidRPr="00564BB2">
        <w:rPr>
          <w:rFonts w:ascii="Times New Roman" w:hAnsi="Times New Roman" w:cs="Times New Roman"/>
          <w:color w:val="auto"/>
          <w:sz w:val="24"/>
          <w:szCs w:val="24"/>
        </w:rPr>
        <w:t>Fe</w:t>
      </w:r>
      <w:r w:rsidR="0017540B" w:rsidRPr="00564BB2">
        <w:rPr>
          <w:rFonts w:ascii="Times New Roman" w:hAnsi="Times New Roman" w:cs="Times New Roman"/>
          <w:color w:val="auto"/>
          <w:sz w:val="24"/>
          <w:szCs w:val="24"/>
          <w:vertAlign w:val="subscript"/>
        </w:rPr>
        <w:t>2</w:t>
      </w:r>
      <w:r w:rsidR="0017540B" w:rsidRPr="00564BB2">
        <w:rPr>
          <w:rFonts w:ascii="Times New Roman" w:hAnsi="Times New Roman" w:cs="Times New Roman"/>
          <w:color w:val="auto"/>
          <w:sz w:val="24"/>
          <w:szCs w:val="24"/>
        </w:rPr>
        <w:t>O</w:t>
      </w:r>
      <w:r w:rsidR="0017540B" w:rsidRPr="00564BB2">
        <w:rPr>
          <w:rFonts w:ascii="Times New Roman" w:hAnsi="Times New Roman" w:cs="Times New Roman"/>
          <w:color w:val="auto"/>
          <w:sz w:val="24"/>
          <w:szCs w:val="24"/>
          <w:vertAlign w:val="subscript"/>
        </w:rPr>
        <w:t>3</w:t>
      </w:r>
      <w:r w:rsidR="0017540B" w:rsidRPr="00564BB2">
        <w:rPr>
          <w:rFonts w:ascii="Times New Roman" w:hAnsi="Times New Roman" w:cs="Times New Roman"/>
          <w:color w:val="auto"/>
          <w:sz w:val="24"/>
          <w:szCs w:val="24"/>
        </w:rPr>
        <w:t xml:space="preserve">) </w:t>
      </w:r>
      <w:r w:rsidR="0017540B" w:rsidRPr="00564BB2">
        <w:rPr>
          <w:rFonts w:ascii="Times New Roman" w:hAnsi="Times New Roman" w:cs="Times New Roman"/>
          <w:color w:val="auto"/>
          <w:sz w:val="24"/>
          <w:szCs w:val="24"/>
        </w:rPr>
        <w:t>Nanoparticle</w:t>
      </w:r>
    </w:p>
    <w:p w14:paraId="3413E604" w14:textId="77777777" w:rsidR="003162E2" w:rsidRPr="00564BB2" w:rsidRDefault="003162E2" w:rsidP="00184A6B">
      <w:pPr>
        <w:spacing w:line="480" w:lineRule="auto"/>
        <w:rPr>
          <w:rFonts w:ascii="Times New Roman" w:hAnsi="Times New Roman" w:cs="Times New Roman"/>
          <w:sz w:val="24"/>
          <w:szCs w:val="24"/>
        </w:rPr>
      </w:pPr>
    </w:p>
    <w:p w14:paraId="1A04E83E" w14:textId="3F4BFB32" w:rsidR="003162E2" w:rsidRPr="00564BB2" w:rsidRDefault="003162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3.5</w:t>
      </w:r>
      <w:r w:rsidRPr="00564BB2">
        <w:rPr>
          <w:rFonts w:ascii="Times New Roman" w:hAnsi="Times New Roman" w:cs="Times New Roman"/>
          <w:color w:val="auto"/>
          <w:sz w:val="24"/>
          <w:szCs w:val="24"/>
        </w:rPr>
        <w:tab/>
        <w:t>Characterization and Analysis</w:t>
      </w:r>
    </w:p>
    <w:p w14:paraId="049AD882" w14:textId="77777777" w:rsidR="003162E2" w:rsidRPr="00564BB2" w:rsidRDefault="003162E2" w:rsidP="00184A6B">
      <w:pPr>
        <w:spacing w:line="480" w:lineRule="auto"/>
        <w:rPr>
          <w:rFonts w:ascii="Times New Roman" w:hAnsi="Times New Roman" w:cs="Times New Roman"/>
          <w:sz w:val="24"/>
          <w:szCs w:val="24"/>
        </w:rPr>
      </w:pPr>
    </w:p>
    <w:p w14:paraId="52AFA4F6" w14:textId="7D14794F" w:rsidR="003162E2" w:rsidRPr="00564BB2" w:rsidRDefault="003162E2" w:rsidP="00184A6B">
      <w:pPr>
        <w:pStyle w:val="Heading2"/>
        <w:spacing w:line="480" w:lineRule="auto"/>
        <w:rPr>
          <w:rFonts w:ascii="Times New Roman" w:hAnsi="Times New Roman" w:cs="Times New Roman"/>
          <w:color w:val="auto"/>
          <w:sz w:val="24"/>
          <w:szCs w:val="24"/>
        </w:rPr>
      </w:pPr>
      <w:r w:rsidRPr="00564BB2">
        <w:rPr>
          <w:rFonts w:ascii="Times New Roman" w:hAnsi="Times New Roman" w:cs="Times New Roman"/>
          <w:color w:val="auto"/>
          <w:sz w:val="24"/>
          <w:szCs w:val="24"/>
        </w:rPr>
        <w:t>3.6</w:t>
      </w:r>
      <w:r w:rsidRPr="00564BB2">
        <w:rPr>
          <w:rFonts w:ascii="Times New Roman" w:hAnsi="Times New Roman" w:cs="Times New Roman"/>
          <w:color w:val="auto"/>
          <w:sz w:val="24"/>
          <w:szCs w:val="24"/>
        </w:rPr>
        <w:tab/>
        <w:t>Adsorption Studies</w:t>
      </w:r>
    </w:p>
    <w:p w14:paraId="18E76718" w14:textId="77777777" w:rsidR="00201329" w:rsidRPr="00564BB2" w:rsidRDefault="00201329" w:rsidP="00184A6B">
      <w:pPr>
        <w:spacing w:line="480" w:lineRule="auto"/>
        <w:rPr>
          <w:rFonts w:ascii="Times New Roman" w:hAnsi="Times New Roman" w:cs="Times New Roman"/>
          <w:sz w:val="24"/>
          <w:szCs w:val="24"/>
        </w:rPr>
      </w:pPr>
    </w:p>
    <w:p w14:paraId="18FD0B19" w14:textId="391622F8" w:rsidR="00201329" w:rsidRPr="00564BB2" w:rsidRDefault="00201329"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 xml:space="preserve">3.6.1 </w:t>
      </w:r>
      <w:r w:rsidRPr="00564BB2">
        <w:rPr>
          <w:rFonts w:ascii="Times New Roman" w:hAnsi="Times New Roman" w:cs="Times New Roman"/>
          <w:color w:val="auto"/>
        </w:rPr>
        <w:tab/>
        <w:t xml:space="preserve">Determination of the effect of </w:t>
      </w:r>
      <w:r w:rsidR="00984F69" w:rsidRPr="00564BB2">
        <w:rPr>
          <w:rFonts w:ascii="Times New Roman" w:hAnsi="Times New Roman" w:cs="Times New Roman"/>
          <w:color w:val="auto"/>
        </w:rPr>
        <w:t>Initial Concentration</w:t>
      </w:r>
    </w:p>
    <w:p w14:paraId="6EE11BA9" w14:textId="77777777" w:rsidR="00984F69" w:rsidRPr="00564BB2" w:rsidRDefault="00984F69" w:rsidP="00184A6B">
      <w:pPr>
        <w:spacing w:line="480" w:lineRule="auto"/>
        <w:rPr>
          <w:rFonts w:ascii="Times New Roman" w:hAnsi="Times New Roman" w:cs="Times New Roman"/>
          <w:sz w:val="24"/>
          <w:szCs w:val="24"/>
        </w:rPr>
      </w:pPr>
    </w:p>
    <w:p w14:paraId="09B39FED" w14:textId="7E27826F" w:rsidR="00984F69" w:rsidRPr="00564BB2" w:rsidRDefault="00984F69"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3.6.2</w:t>
      </w:r>
      <w:r w:rsidRPr="00564BB2">
        <w:rPr>
          <w:rFonts w:ascii="Times New Roman" w:hAnsi="Times New Roman" w:cs="Times New Roman"/>
          <w:color w:val="auto"/>
        </w:rPr>
        <w:tab/>
        <w:t xml:space="preserve">Determination of the effect of contact time </w:t>
      </w:r>
    </w:p>
    <w:p w14:paraId="1B23EEF7" w14:textId="77777777" w:rsidR="00F64065" w:rsidRPr="00564BB2" w:rsidRDefault="00F64065" w:rsidP="00184A6B">
      <w:pPr>
        <w:spacing w:line="480" w:lineRule="auto"/>
        <w:rPr>
          <w:rFonts w:ascii="Times New Roman" w:hAnsi="Times New Roman" w:cs="Times New Roman"/>
          <w:sz w:val="24"/>
          <w:szCs w:val="24"/>
        </w:rPr>
      </w:pPr>
    </w:p>
    <w:p w14:paraId="46B2AAFC" w14:textId="0DC57A4E" w:rsidR="00F64065" w:rsidRPr="00564BB2" w:rsidRDefault="009E4948" w:rsidP="00184A6B">
      <w:pPr>
        <w:pStyle w:val="Heading3"/>
        <w:spacing w:line="480" w:lineRule="auto"/>
        <w:rPr>
          <w:rFonts w:ascii="Times New Roman" w:hAnsi="Times New Roman" w:cs="Times New Roman"/>
          <w:color w:val="auto"/>
        </w:rPr>
      </w:pPr>
      <w:r w:rsidRPr="00564BB2">
        <w:rPr>
          <w:rFonts w:ascii="Times New Roman" w:hAnsi="Times New Roman" w:cs="Times New Roman"/>
          <w:color w:val="auto"/>
        </w:rPr>
        <w:t>3.7</w:t>
      </w:r>
      <w:r w:rsidRPr="00564BB2">
        <w:rPr>
          <w:rFonts w:ascii="Times New Roman" w:hAnsi="Times New Roman" w:cs="Times New Roman"/>
          <w:color w:val="auto"/>
        </w:rPr>
        <w:tab/>
        <w:t>Calculation of Percentage Removal and Adsorption Capacity</w:t>
      </w:r>
    </w:p>
    <w:bookmarkEnd w:id="1"/>
    <w:p w14:paraId="3154AFB2" w14:textId="77777777" w:rsidR="009E4948" w:rsidRPr="00564BB2" w:rsidRDefault="009E4948" w:rsidP="00184A6B">
      <w:pPr>
        <w:spacing w:line="480" w:lineRule="auto"/>
        <w:rPr>
          <w:rFonts w:ascii="Times New Roman" w:hAnsi="Times New Roman" w:cs="Times New Roman"/>
          <w:sz w:val="24"/>
          <w:szCs w:val="24"/>
        </w:rPr>
      </w:pPr>
    </w:p>
    <w:p w14:paraId="55052856" w14:textId="77777777" w:rsidR="008042A8" w:rsidRPr="00564BB2" w:rsidRDefault="008042A8" w:rsidP="00184A6B">
      <w:pPr>
        <w:spacing w:line="480" w:lineRule="auto"/>
        <w:rPr>
          <w:rFonts w:ascii="Times New Roman" w:hAnsi="Times New Roman" w:cs="Times New Roman"/>
          <w:sz w:val="24"/>
          <w:szCs w:val="24"/>
        </w:rPr>
      </w:pPr>
    </w:p>
    <w:p w14:paraId="2E59794D" w14:textId="77777777" w:rsidR="008042A8" w:rsidRPr="00564BB2" w:rsidRDefault="008042A8" w:rsidP="00184A6B">
      <w:pPr>
        <w:spacing w:line="480" w:lineRule="auto"/>
        <w:rPr>
          <w:rFonts w:ascii="Times New Roman" w:hAnsi="Times New Roman" w:cs="Times New Roman"/>
          <w:sz w:val="24"/>
          <w:szCs w:val="24"/>
        </w:rPr>
      </w:pPr>
    </w:p>
    <w:sectPr w:rsidR="008042A8" w:rsidRPr="0056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836878">
    <w:abstractNumId w:val="2"/>
  </w:num>
  <w:num w:numId="2" w16cid:durableId="147017017">
    <w:abstractNumId w:val="1"/>
  </w:num>
  <w:num w:numId="3" w16cid:durableId="1989286706">
    <w:abstractNumId w:val="5"/>
  </w:num>
  <w:num w:numId="4" w16cid:durableId="1222131035">
    <w:abstractNumId w:val="4"/>
  </w:num>
  <w:num w:numId="5" w16cid:durableId="1058745073">
    <w:abstractNumId w:val="3"/>
  </w:num>
  <w:num w:numId="6" w16cid:durableId="54441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2D62"/>
    <w:rsid w:val="000218CE"/>
    <w:rsid w:val="00026F17"/>
    <w:rsid w:val="000325EA"/>
    <w:rsid w:val="00040DBE"/>
    <w:rsid w:val="000571A4"/>
    <w:rsid w:val="00062CA7"/>
    <w:rsid w:val="000660E3"/>
    <w:rsid w:val="00067457"/>
    <w:rsid w:val="00076D0D"/>
    <w:rsid w:val="00094086"/>
    <w:rsid w:val="000A03E0"/>
    <w:rsid w:val="000A53E7"/>
    <w:rsid w:val="000A7326"/>
    <w:rsid w:val="000A7F14"/>
    <w:rsid w:val="000B2E0A"/>
    <w:rsid w:val="000B49D8"/>
    <w:rsid w:val="000C0730"/>
    <w:rsid w:val="000C4ADA"/>
    <w:rsid w:val="000D174C"/>
    <w:rsid w:val="000D5F67"/>
    <w:rsid w:val="000D69E7"/>
    <w:rsid w:val="000E0E1E"/>
    <w:rsid w:val="000E326A"/>
    <w:rsid w:val="000E6748"/>
    <w:rsid w:val="000E7020"/>
    <w:rsid w:val="001024DF"/>
    <w:rsid w:val="00105469"/>
    <w:rsid w:val="00113465"/>
    <w:rsid w:val="00113DFF"/>
    <w:rsid w:val="001208F8"/>
    <w:rsid w:val="00140EEA"/>
    <w:rsid w:val="00145F14"/>
    <w:rsid w:val="00152B40"/>
    <w:rsid w:val="00156D19"/>
    <w:rsid w:val="0017540B"/>
    <w:rsid w:val="0018028A"/>
    <w:rsid w:val="00181812"/>
    <w:rsid w:val="00184A6B"/>
    <w:rsid w:val="00190AEC"/>
    <w:rsid w:val="00191AEE"/>
    <w:rsid w:val="001A623B"/>
    <w:rsid w:val="001A6767"/>
    <w:rsid w:val="001B2F90"/>
    <w:rsid w:val="001E3718"/>
    <w:rsid w:val="001F0B6C"/>
    <w:rsid w:val="001F3443"/>
    <w:rsid w:val="0020092E"/>
    <w:rsid w:val="00201329"/>
    <w:rsid w:val="00204844"/>
    <w:rsid w:val="00220E54"/>
    <w:rsid w:val="00222076"/>
    <w:rsid w:val="002347E6"/>
    <w:rsid w:val="002657F2"/>
    <w:rsid w:val="002663AB"/>
    <w:rsid w:val="00270AEE"/>
    <w:rsid w:val="00275FAF"/>
    <w:rsid w:val="002825BF"/>
    <w:rsid w:val="002944B7"/>
    <w:rsid w:val="002A012C"/>
    <w:rsid w:val="002A32E0"/>
    <w:rsid w:val="002B04F0"/>
    <w:rsid w:val="002B6171"/>
    <w:rsid w:val="002B699E"/>
    <w:rsid w:val="002C158E"/>
    <w:rsid w:val="002C3089"/>
    <w:rsid w:val="002C35B6"/>
    <w:rsid w:val="002C47A6"/>
    <w:rsid w:val="002C4A48"/>
    <w:rsid w:val="002D71F9"/>
    <w:rsid w:val="002E11C5"/>
    <w:rsid w:val="003162E2"/>
    <w:rsid w:val="00317F10"/>
    <w:rsid w:val="003242E9"/>
    <w:rsid w:val="00333708"/>
    <w:rsid w:val="00337EB0"/>
    <w:rsid w:val="00344159"/>
    <w:rsid w:val="00345986"/>
    <w:rsid w:val="00353AD2"/>
    <w:rsid w:val="00381634"/>
    <w:rsid w:val="0038319D"/>
    <w:rsid w:val="00386402"/>
    <w:rsid w:val="0039110A"/>
    <w:rsid w:val="003921BD"/>
    <w:rsid w:val="003A1D95"/>
    <w:rsid w:val="003A45E0"/>
    <w:rsid w:val="003B56A9"/>
    <w:rsid w:val="003C41A6"/>
    <w:rsid w:val="003C62F6"/>
    <w:rsid w:val="003C7652"/>
    <w:rsid w:val="003F18FD"/>
    <w:rsid w:val="003F55A6"/>
    <w:rsid w:val="003F6F03"/>
    <w:rsid w:val="00404E08"/>
    <w:rsid w:val="0040566D"/>
    <w:rsid w:val="00420D64"/>
    <w:rsid w:val="00423C17"/>
    <w:rsid w:val="00423F34"/>
    <w:rsid w:val="00431BD0"/>
    <w:rsid w:val="00437E79"/>
    <w:rsid w:val="0044125D"/>
    <w:rsid w:val="00444B46"/>
    <w:rsid w:val="00461A63"/>
    <w:rsid w:val="00463C46"/>
    <w:rsid w:val="004838F1"/>
    <w:rsid w:val="004A7D2C"/>
    <w:rsid w:val="004B0AA9"/>
    <w:rsid w:val="004B0F1D"/>
    <w:rsid w:val="004B212F"/>
    <w:rsid w:val="004C2A1A"/>
    <w:rsid w:val="004C4080"/>
    <w:rsid w:val="004C7196"/>
    <w:rsid w:val="004D27AA"/>
    <w:rsid w:val="004D3227"/>
    <w:rsid w:val="004E708A"/>
    <w:rsid w:val="004F0F3B"/>
    <w:rsid w:val="00507DEC"/>
    <w:rsid w:val="00534FEC"/>
    <w:rsid w:val="00540E23"/>
    <w:rsid w:val="00564BB2"/>
    <w:rsid w:val="00567D80"/>
    <w:rsid w:val="00571E80"/>
    <w:rsid w:val="00581088"/>
    <w:rsid w:val="00584EBC"/>
    <w:rsid w:val="00597ACE"/>
    <w:rsid w:val="005D2402"/>
    <w:rsid w:val="005D7273"/>
    <w:rsid w:val="005F364A"/>
    <w:rsid w:val="005F5B43"/>
    <w:rsid w:val="00600111"/>
    <w:rsid w:val="00600F7C"/>
    <w:rsid w:val="00605322"/>
    <w:rsid w:val="00612115"/>
    <w:rsid w:val="00615E40"/>
    <w:rsid w:val="00645BC8"/>
    <w:rsid w:val="006710E1"/>
    <w:rsid w:val="00672F3C"/>
    <w:rsid w:val="00674D28"/>
    <w:rsid w:val="0068397A"/>
    <w:rsid w:val="006910EE"/>
    <w:rsid w:val="006A6904"/>
    <w:rsid w:val="006B25B5"/>
    <w:rsid w:val="006B3D46"/>
    <w:rsid w:val="006C0E08"/>
    <w:rsid w:val="006C7105"/>
    <w:rsid w:val="006D5E9B"/>
    <w:rsid w:val="006E6C7C"/>
    <w:rsid w:val="00703E83"/>
    <w:rsid w:val="00707D6D"/>
    <w:rsid w:val="00710ABA"/>
    <w:rsid w:val="00731D4B"/>
    <w:rsid w:val="00732EE3"/>
    <w:rsid w:val="00736551"/>
    <w:rsid w:val="0073768A"/>
    <w:rsid w:val="007425B6"/>
    <w:rsid w:val="007449FB"/>
    <w:rsid w:val="00744C1C"/>
    <w:rsid w:val="00751D22"/>
    <w:rsid w:val="00765913"/>
    <w:rsid w:val="00767FBA"/>
    <w:rsid w:val="00772A99"/>
    <w:rsid w:val="0077640F"/>
    <w:rsid w:val="007A21F0"/>
    <w:rsid w:val="007A3209"/>
    <w:rsid w:val="007B50C6"/>
    <w:rsid w:val="007B7C07"/>
    <w:rsid w:val="007C135B"/>
    <w:rsid w:val="007C4BCF"/>
    <w:rsid w:val="007E4710"/>
    <w:rsid w:val="00800961"/>
    <w:rsid w:val="008042A8"/>
    <w:rsid w:val="00805DBC"/>
    <w:rsid w:val="00821174"/>
    <w:rsid w:val="00822CD1"/>
    <w:rsid w:val="0084131E"/>
    <w:rsid w:val="008430FF"/>
    <w:rsid w:val="0084487A"/>
    <w:rsid w:val="00845A8B"/>
    <w:rsid w:val="00861BA4"/>
    <w:rsid w:val="00864C8B"/>
    <w:rsid w:val="0086741F"/>
    <w:rsid w:val="008764E4"/>
    <w:rsid w:val="008817E3"/>
    <w:rsid w:val="00887D2F"/>
    <w:rsid w:val="0089411C"/>
    <w:rsid w:val="008A1F6B"/>
    <w:rsid w:val="008A399C"/>
    <w:rsid w:val="008A51E8"/>
    <w:rsid w:val="008A77AF"/>
    <w:rsid w:val="008B2D5E"/>
    <w:rsid w:val="008C1733"/>
    <w:rsid w:val="008C3C16"/>
    <w:rsid w:val="008C53A9"/>
    <w:rsid w:val="008F1AAC"/>
    <w:rsid w:val="008F7E8A"/>
    <w:rsid w:val="009017E4"/>
    <w:rsid w:val="00905ED1"/>
    <w:rsid w:val="00911500"/>
    <w:rsid w:val="009175A8"/>
    <w:rsid w:val="00926FAE"/>
    <w:rsid w:val="00931564"/>
    <w:rsid w:val="0094012E"/>
    <w:rsid w:val="00940E06"/>
    <w:rsid w:val="00944761"/>
    <w:rsid w:val="009452A4"/>
    <w:rsid w:val="00950583"/>
    <w:rsid w:val="00953E59"/>
    <w:rsid w:val="00960863"/>
    <w:rsid w:val="00964EB0"/>
    <w:rsid w:val="00984B6B"/>
    <w:rsid w:val="00984F69"/>
    <w:rsid w:val="0098722C"/>
    <w:rsid w:val="00987783"/>
    <w:rsid w:val="009918BD"/>
    <w:rsid w:val="00991D45"/>
    <w:rsid w:val="00991EFB"/>
    <w:rsid w:val="009A1C8A"/>
    <w:rsid w:val="009A49DD"/>
    <w:rsid w:val="009B2D1E"/>
    <w:rsid w:val="009B2EB9"/>
    <w:rsid w:val="009B2FEF"/>
    <w:rsid w:val="009B7D6D"/>
    <w:rsid w:val="009C2462"/>
    <w:rsid w:val="009C37F6"/>
    <w:rsid w:val="009C40A6"/>
    <w:rsid w:val="009C5436"/>
    <w:rsid w:val="009E0732"/>
    <w:rsid w:val="009E1BE2"/>
    <w:rsid w:val="009E4948"/>
    <w:rsid w:val="009F469D"/>
    <w:rsid w:val="009F796B"/>
    <w:rsid w:val="00A034E8"/>
    <w:rsid w:val="00A24518"/>
    <w:rsid w:val="00A24AD1"/>
    <w:rsid w:val="00A25CB6"/>
    <w:rsid w:val="00A575C4"/>
    <w:rsid w:val="00A67E0E"/>
    <w:rsid w:val="00A83A1A"/>
    <w:rsid w:val="00AC7D7D"/>
    <w:rsid w:val="00AD369B"/>
    <w:rsid w:val="00AE6AB0"/>
    <w:rsid w:val="00B0230F"/>
    <w:rsid w:val="00B10D82"/>
    <w:rsid w:val="00B1241D"/>
    <w:rsid w:val="00B14DD3"/>
    <w:rsid w:val="00B20593"/>
    <w:rsid w:val="00B23249"/>
    <w:rsid w:val="00B2352C"/>
    <w:rsid w:val="00B2447F"/>
    <w:rsid w:val="00B44CD4"/>
    <w:rsid w:val="00B54B40"/>
    <w:rsid w:val="00B74505"/>
    <w:rsid w:val="00B74EA4"/>
    <w:rsid w:val="00B76522"/>
    <w:rsid w:val="00B770E9"/>
    <w:rsid w:val="00B823E9"/>
    <w:rsid w:val="00B85F7B"/>
    <w:rsid w:val="00B90B0F"/>
    <w:rsid w:val="00B943C5"/>
    <w:rsid w:val="00B9595D"/>
    <w:rsid w:val="00BA178F"/>
    <w:rsid w:val="00BA576C"/>
    <w:rsid w:val="00BB5FBF"/>
    <w:rsid w:val="00BB776C"/>
    <w:rsid w:val="00BB7C9C"/>
    <w:rsid w:val="00BC1D85"/>
    <w:rsid w:val="00BD2A95"/>
    <w:rsid w:val="00BE46F8"/>
    <w:rsid w:val="00BF09A1"/>
    <w:rsid w:val="00BF365B"/>
    <w:rsid w:val="00BF3710"/>
    <w:rsid w:val="00BF6B75"/>
    <w:rsid w:val="00C16975"/>
    <w:rsid w:val="00C208E6"/>
    <w:rsid w:val="00C20ACF"/>
    <w:rsid w:val="00C22D51"/>
    <w:rsid w:val="00C41A02"/>
    <w:rsid w:val="00C41B3B"/>
    <w:rsid w:val="00C50EE2"/>
    <w:rsid w:val="00C51836"/>
    <w:rsid w:val="00C51D48"/>
    <w:rsid w:val="00C66677"/>
    <w:rsid w:val="00C83A71"/>
    <w:rsid w:val="00C93865"/>
    <w:rsid w:val="00CA29D7"/>
    <w:rsid w:val="00CA38A0"/>
    <w:rsid w:val="00CB2837"/>
    <w:rsid w:val="00CC4A05"/>
    <w:rsid w:val="00CD3A81"/>
    <w:rsid w:val="00CE01F9"/>
    <w:rsid w:val="00CF6E26"/>
    <w:rsid w:val="00D073F3"/>
    <w:rsid w:val="00D14BAA"/>
    <w:rsid w:val="00D24DE2"/>
    <w:rsid w:val="00D307C2"/>
    <w:rsid w:val="00D41154"/>
    <w:rsid w:val="00D45B6A"/>
    <w:rsid w:val="00D50035"/>
    <w:rsid w:val="00D52160"/>
    <w:rsid w:val="00D54CDE"/>
    <w:rsid w:val="00D55D54"/>
    <w:rsid w:val="00D56B37"/>
    <w:rsid w:val="00D60776"/>
    <w:rsid w:val="00D76A3D"/>
    <w:rsid w:val="00D76F25"/>
    <w:rsid w:val="00D85424"/>
    <w:rsid w:val="00D8646F"/>
    <w:rsid w:val="00D8794F"/>
    <w:rsid w:val="00D9020F"/>
    <w:rsid w:val="00DA479A"/>
    <w:rsid w:val="00DA6E76"/>
    <w:rsid w:val="00DA7AE9"/>
    <w:rsid w:val="00DB37AE"/>
    <w:rsid w:val="00DB5544"/>
    <w:rsid w:val="00DC7AFB"/>
    <w:rsid w:val="00DD5BA9"/>
    <w:rsid w:val="00DE1F56"/>
    <w:rsid w:val="00DE3DE3"/>
    <w:rsid w:val="00E03254"/>
    <w:rsid w:val="00E052F3"/>
    <w:rsid w:val="00E12586"/>
    <w:rsid w:val="00E129E1"/>
    <w:rsid w:val="00E23148"/>
    <w:rsid w:val="00E24955"/>
    <w:rsid w:val="00E267B9"/>
    <w:rsid w:val="00E36ABD"/>
    <w:rsid w:val="00E37978"/>
    <w:rsid w:val="00E405E0"/>
    <w:rsid w:val="00E42D74"/>
    <w:rsid w:val="00E55C51"/>
    <w:rsid w:val="00E570EC"/>
    <w:rsid w:val="00E644B1"/>
    <w:rsid w:val="00E70B53"/>
    <w:rsid w:val="00E72368"/>
    <w:rsid w:val="00E768D0"/>
    <w:rsid w:val="00E81703"/>
    <w:rsid w:val="00E82420"/>
    <w:rsid w:val="00E82E71"/>
    <w:rsid w:val="00E85437"/>
    <w:rsid w:val="00E92447"/>
    <w:rsid w:val="00E97843"/>
    <w:rsid w:val="00EA172A"/>
    <w:rsid w:val="00EA1EC9"/>
    <w:rsid w:val="00EB0479"/>
    <w:rsid w:val="00EB0E2C"/>
    <w:rsid w:val="00EB0F38"/>
    <w:rsid w:val="00EB1B04"/>
    <w:rsid w:val="00EB4EAF"/>
    <w:rsid w:val="00EC01D8"/>
    <w:rsid w:val="00EC5693"/>
    <w:rsid w:val="00EC64CA"/>
    <w:rsid w:val="00EC76FB"/>
    <w:rsid w:val="00ED01E4"/>
    <w:rsid w:val="00ED4723"/>
    <w:rsid w:val="00F04303"/>
    <w:rsid w:val="00F10341"/>
    <w:rsid w:val="00F37F73"/>
    <w:rsid w:val="00F40373"/>
    <w:rsid w:val="00F4188E"/>
    <w:rsid w:val="00F64065"/>
    <w:rsid w:val="00F643F5"/>
    <w:rsid w:val="00F65409"/>
    <w:rsid w:val="00F67336"/>
    <w:rsid w:val="00F73C81"/>
    <w:rsid w:val="00F75099"/>
    <w:rsid w:val="00F81341"/>
    <w:rsid w:val="00F82429"/>
    <w:rsid w:val="00F866AB"/>
    <w:rsid w:val="00FB25C7"/>
    <w:rsid w:val="00FB5AFC"/>
    <w:rsid w:val="00FB7983"/>
    <w:rsid w:val="00FC11DD"/>
    <w:rsid w:val="00FC30D7"/>
    <w:rsid w:val="00FD0343"/>
    <w:rsid w:val="00FD2F5D"/>
    <w:rsid w:val="00FD5DDD"/>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semiHidden/>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17</Pages>
  <Words>9870</Words>
  <Characters>56263</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28</cp:revision>
  <dcterms:created xsi:type="dcterms:W3CDTF">2024-03-29T16:32:00Z</dcterms:created>
  <dcterms:modified xsi:type="dcterms:W3CDTF">2024-04-05T15:58:00Z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id="CmZgvzpe"/&gt;&lt;style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