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Медицинский центр «NEVROCARDIOMED»</w:t>
      </w:r>
    </w:p>
    <w:p/>
    <w:p>
      <w:r>
        <w:rPr>
          <w:b w:val="0"/>
          <w:sz w:val="24"/>
        </w:rPr>
        <w:t>Ф.И.О. пациента</w:t>
      </w:r>
      <w:r>
        <w:rPr>
          <w:b w:val="0"/>
          <w:sz w:val="24"/>
        </w:rPr>
        <w:t xml:space="preserve">    .</w:t>
      </w:r>
      <w:r>
        <w:rPr>
          <w:b w:val="0"/>
          <w:sz w:val="24"/>
        </w:rPr>
        <w:t xml:space="preserve"> Пол     .   г.р.</w:t>
      </w:r>
    </w:p>
    <w:p>
      <w:r>
        <w:rPr>
          <w:b w:val="0"/>
          <w:sz w:val="24"/>
        </w:rPr>
        <w:t>Дата проведения исследования:</w:t>
      </w:r>
    </w:p>
    <w:p>
      <w:r>
        <w:rPr>
          <w:b w:val="0"/>
          <w:sz w:val="24"/>
        </w:rPr>
        <w:t>Ультразвуковой аппарат SonoScape S22. Тип датчика – конвексный, 3.5 МГц</w:t>
      </w:r>
    </w:p>
    <w:p>
      <w:pPr>
        <w:jc w:val="center"/>
      </w:pPr>
      <w:r>
        <w:rPr>
          <w:b/>
          <w:sz w:val="24"/>
        </w:rPr>
        <w:t>ПРОТОКОЛ</w:t>
      </w:r>
    </w:p>
    <w:p>
      <w:pPr>
        <w:jc w:val="center"/>
      </w:pPr>
      <w:r>
        <w:rPr>
          <w:b/>
          <w:sz w:val="24"/>
        </w:rPr>
        <w:t>Ультразвукового исследования</w:t>
      </w:r>
    </w:p>
    <w:p>
      <w:pPr>
        <w:jc w:val="center"/>
      </w:pPr>
      <w:r>
        <w:rPr>
          <w:b/>
          <w:sz w:val="24"/>
        </w:rPr>
        <w:t>ФОЛЛИКУЛОМЕТРИЯ</w:t>
      </w:r>
    </w:p>
    <w:p/>
    <w:p>
      <w:r>
        <w:rPr>
          <w:b/>
          <w:sz w:val="24"/>
        </w:rPr>
        <w:t xml:space="preserve">Толщина эндометрия (М-эхо) </w:t>
      </w:r>
      <w:r>
        <w:rPr>
          <w:b w:val="0"/>
          <w:sz w:val="24"/>
        </w:rPr>
        <w:t xml:space="preserve">  </w:t>
      </w:r>
      <w:r>
        <w:rPr>
          <w:b w:val="0"/>
          <w:sz w:val="24"/>
        </w:rPr>
        <w:t xml:space="preserve"> мм (зависит от дня менструального цикла, не более 18мм),</w:t>
      </w:r>
    </w:p>
    <w:p>
      <w:r>
        <w:rPr>
          <w:b w:val="0"/>
          <w:sz w:val="24"/>
        </w:rPr>
        <w:t xml:space="preserve">соответствует фазе </w:t>
      </w:r>
      <w:r>
        <w:rPr>
          <w:b w:val="0"/>
          <w:sz w:val="24"/>
        </w:rPr>
        <w:t xml:space="preserve">  </w:t>
      </w:r>
    </w:p>
    <w:p/>
    <w:p>
      <w:pPr>
        <w:jc w:val="center"/>
      </w:pPr>
      <w:r>
        <w:rPr>
          <w:b/>
          <w:sz w:val="24"/>
        </w:rPr>
        <w:t>ЯИЧНИКИ</w:t>
      </w:r>
    </w:p>
    <w:p>
      <w:pPr>
        <w:jc w:val="center"/>
      </w:pPr>
      <w:r>
        <w:rPr>
          <w:b/>
          <w:sz w:val="24"/>
        </w:rPr>
        <w:t>(фолликулярный аппарат)</w:t>
      </w:r>
    </w:p>
    <w:p/>
    <w:p>
      <w:r>
        <w:rPr>
          <w:b/>
          <w:sz w:val="24"/>
        </w:rPr>
        <w:t>Правый яичник:</w:t>
      </w:r>
    </w:p>
    <w:p>
      <w:r>
        <w:rPr>
          <w:b w:val="0"/>
          <w:sz w:val="24"/>
        </w:rPr>
        <w:t xml:space="preserve">Фолликулы диаметром </w:t>
      </w:r>
      <w:r>
        <w:rPr>
          <w:b w:val="0"/>
          <w:sz w:val="24"/>
        </w:rPr>
        <w:t xml:space="preserve">  </w:t>
      </w:r>
      <w:r>
        <w:rPr>
          <w:b w:val="0"/>
          <w:sz w:val="24"/>
        </w:rPr>
        <w:t xml:space="preserve"> мм</w:t>
      </w:r>
    </w:p>
    <w:p/>
    <w:p>
      <w:r>
        <w:rPr>
          <w:b/>
          <w:sz w:val="24"/>
        </w:rPr>
        <w:t>Левый яичник:</w:t>
      </w:r>
    </w:p>
    <w:p>
      <w:r>
        <w:rPr>
          <w:b w:val="0"/>
          <w:sz w:val="24"/>
        </w:rPr>
        <w:t xml:space="preserve">Фолликулы диаметром </w:t>
      </w:r>
      <w:r>
        <w:rPr>
          <w:b w:val="0"/>
          <w:sz w:val="24"/>
        </w:rPr>
        <w:t xml:space="preserve">  </w:t>
      </w:r>
      <w:r>
        <w:rPr>
          <w:b w:val="0"/>
          <w:sz w:val="24"/>
        </w:rPr>
        <w:t xml:space="preserve"> мм</w:t>
      </w:r>
    </w:p>
    <w:p/>
    <w:p>
      <w:r>
        <w:rPr>
          <w:b/>
          <w:sz w:val="24"/>
        </w:rPr>
        <w:t xml:space="preserve">Свободная жидкость в заднем Дугласовом пространстве: </w:t>
      </w:r>
      <w:r>
        <w:rPr>
          <w:b w:val="0"/>
          <w:sz w:val="24"/>
        </w:rPr>
        <w:t xml:space="preserve">  </w:t>
      </w:r>
    </w:p>
    <w:p/>
    <w:p>
      <w:r>
        <w:rPr>
          <w:b/>
          <w:sz w:val="24"/>
        </w:rPr>
        <w:t xml:space="preserve">Заключение: </w:t>
      </w:r>
      <w:r>
        <w:rPr>
          <w:b w:val="0"/>
          <w:sz w:val="24"/>
        </w:rPr>
        <w:t xml:space="preserve">  </w:t>
      </w:r>
    </w:p>
    <w:p/>
    <w:p/>
    <w:p>
      <w:pPr>
        <w:jc w:val="right"/>
      </w:pPr>
      <w:r>
        <w:rPr>
          <w:b/>
          <w:sz w:val="24"/>
        </w:rPr>
        <w:t xml:space="preserve">         Врач_________________ </w:t>
      </w:r>
    </w:p>
    <w:p/>
    <w:sectPr w:rsidR="00FC693F" w:rsidRPr="0006063C" w:rsidSect="00034616">
      <w:pgSz w:w="11906" w:h="16838"/>
      <w:pgMar w:top="567" w:right="397" w:bottom="283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