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3DA3B" w14:textId="2A9C1934" w:rsidR="00BD09BC" w:rsidRPr="00BD09BC" w:rsidRDefault="00BD09BC" w:rsidP="00BD09BC">
      <w:pPr>
        <w:jc w:val="center"/>
        <w:rPr>
          <w:b/>
          <w:bCs/>
          <w:color w:val="00B050"/>
        </w:rPr>
      </w:pPr>
      <w:r w:rsidRPr="00BD09BC">
        <w:rPr>
          <w:b/>
          <w:bCs/>
          <w:noProof/>
          <w:color w:val="00B050"/>
        </w:rPr>
        <w:drawing>
          <wp:anchor distT="0" distB="0" distL="114300" distR="114300" simplePos="0" relativeHeight="251658240" behindDoc="0" locked="0" layoutInCell="1" allowOverlap="1" wp14:anchorId="353DEC34" wp14:editId="34AF5AE4">
            <wp:simplePos x="0" y="0"/>
            <wp:positionH relativeFrom="column">
              <wp:posOffset>176169</wp:posOffset>
            </wp:positionH>
            <wp:positionV relativeFrom="paragraph">
              <wp:posOffset>0</wp:posOffset>
            </wp:positionV>
            <wp:extent cx="805361" cy="453006"/>
            <wp:effectExtent l="0" t="0" r="0" b="4445"/>
            <wp:wrapSquare wrapText="bothSides"/>
            <wp:docPr id="1085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085" name="Picture 10854085"/>
                    <pic:cNvPicPr/>
                  </pic:nvPicPr>
                  <pic:blipFill>
                    <a:blip r:embed="rId5" cstate="print">
                      <a:extLst>
                        <a:ext uri="{28A0092B-C50C-407E-A947-70E740481C1C}">
                          <a14:useLocalDpi xmlns:a14="http://schemas.microsoft.com/office/drawing/2010/main" val="0"/>
                        </a:ext>
                      </a:extLst>
                    </a:blip>
                    <a:stretch>
                      <a:fillRect/>
                    </a:stretch>
                  </pic:blipFill>
                  <pic:spPr>
                    <a:xfrm>
                      <a:off x="0" y="0"/>
                      <a:ext cx="805361" cy="453006"/>
                    </a:xfrm>
                    <a:prstGeom prst="rect">
                      <a:avLst/>
                    </a:prstGeom>
                  </pic:spPr>
                </pic:pic>
              </a:graphicData>
            </a:graphic>
          </wp:anchor>
        </w:drawing>
      </w:r>
      <w:r w:rsidRPr="00BD09BC">
        <w:rPr>
          <w:b/>
          <w:bCs/>
          <w:color w:val="00B050"/>
          <w:sz w:val="36"/>
          <w:szCs w:val="36"/>
        </w:rPr>
        <w:t>EXECUTIVE SUMMARY: NATIONAL ELECTION RESULTS PORTAL</w:t>
      </w:r>
    </w:p>
    <w:p w14:paraId="03A7D6D7" w14:textId="77777777" w:rsidR="00BD09BC" w:rsidRPr="00BD09BC" w:rsidRDefault="00BD09BC" w:rsidP="00BD09BC">
      <w:pPr>
        <w:spacing w:line="276" w:lineRule="auto"/>
        <w:jc w:val="center"/>
        <w:rPr>
          <w:b/>
          <w:bCs/>
          <w:sz w:val="26"/>
          <w:szCs w:val="26"/>
        </w:rPr>
      </w:pPr>
      <w:r w:rsidRPr="00BD09BC">
        <w:rPr>
          <w:b/>
          <w:bCs/>
          <w:sz w:val="26"/>
          <w:szCs w:val="26"/>
        </w:rPr>
        <w:t>An Analytical Overlay of Polling Unit Performance and Party Variance</w:t>
      </w:r>
    </w:p>
    <w:p w14:paraId="58E99B92" w14:textId="2C1CE31D" w:rsidR="00BD09BC" w:rsidRPr="00BD09BC" w:rsidRDefault="00BD09BC" w:rsidP="00BD09BC">
      <w:pPr>
        <w:spacing w:line="276" w:lineRule="auto"/>
        <w:jc w:val="both"/>
      </w:pPr>
      <w:r w:rsidRPr="00BD09BC">
        <w:rPr>
          <w:b/>
          <w:bCs/>
        </w:rPr>
        <w:t>Prepared by:</w:t>
      </w:r>
      <w:r w:rsidRPr="00BD09BC">
        <w:t xml:space="preserve"> </w:t>
      </w:r>
      <w:r w:rsidR="007E01E2">
        <w:t>Team Motion (NTTS)</w:t>
      </w:r>
    </w:p>
    <w:p w14:paraId="150202FD" w14:textId="77777777" w:rsidR="00BD09BC" w:rsidRPr="00BD09BC" w:rsidRDefault="00BD09BC" w:rsidP="00BD09BC">
      <w:pPr>
        <w:spacing w:line="276" w:lineRule="auto"/>
        <w:jc w:val="both"/>
      </w:pPr>
      <w:r w:rsidRPr="00BD09BC">
        <w:rPr>
          <w:b/>
          <w:bCs/>
        </w:rPr>
        <w:t>Target Stakeholders:</w:t>
      </w:r>
      <w:r w:rsidRPr="00BD09BC">
        <w:t xml:space="preserve"> Electoral Observers, Policy Advisors, and Strategic Planners</w:t>
      </w:r>
    </w:p>
    <w:p w14:paraId="09395A50" w14:textId="77777777" w:rsidR="00BD09BC" w:rsidRPr="00BD09BC" w:rsidRDefault="00BD09BC" w:rsidP="00BD09BC">
      <w:pPr>
        <w:spacing w:line="276" w:lineRule="auto"/>
        <w:jc w:val="both"/>
        <w:rPr>
          <w:b/>
          <w:bCs/>
        </w:rPr>
      </w:pPr>
      <w:r w:rsidRPr="00BD09BC">
        <w:rPr>
          <w:b/>
          <w:bCs/>
        </w:rPr>
        <w:t>1. Introduction &amp; Background</w:t>
      </w:r>
    </w:p>
    <w:p w14:paraId="784A5D97" w14:textId="77777777" w:rsidR="00BD09BC" w:rsidRPr="00BD09BC" w:rsidRDefault="00BD09BC" w:rsidP="00BD09BC">
      <w:pPr>
        <w:spacing w:line="276" w:lineRule="auto"/>
        <w:jc w:val="both"/>
      </w:pPr>
      <w:r w:rsidRPr="00BD09BC">
        <w:t>The integrity and transparency of democratic processes rely heavily on the efficient aggregation and analysis of voter data. The Independent National Electoral Commission (INEC) manages massive volumes of localized polling unit returns across the federation. However, raw data at this granular level remains largely inaccessible for rapid, high-level strategic decision-making. This project establishes a centralized, interactive data architecture that serves as an advanced analytical overlay, transforming complex electoral spreadsheets into clean, stakeholder-focused visual intelligence.</w:t>
      </w:r>
    </w:p>
    <w:p w14:paraId="57F56257" w14:textId="77777777" w:rsidR="00BD09BC" w:rsidRPr="00BD09BC" w:rsidRDefault="00BD09BC" w:rsidP="00BD09BC">
      <w:pPr>
        <w:spacing w:line="276" w:lineRule="auto"/>
        <w:jc w:val="both"/>
        <w:rPr>
          <w:b/>
          <w:bCs/>
        </w:rPr>
      </w:pPr>
      <w:r w:rsidRPr="00BD09BC">
        <w:rPr>
          <w:b/>
          <w:bCs/>
        </w:rPr>
        <w:t>2. Research Question</w:t>
      </w:r>
    </w:p>
    <w:p w14:paraId="7BCA8070" w14:textId="77777777" w:rsidR="00BD09BC" w:rsidRPr="00BD09BC" w:rsidRDefault="00BD09BC" w:rsidP="00BD09BC">
      <w:pPr>
        <w:spacing w:line="276" w:lineRule="auto"/>
        <w:jc w:val="both"/>
      </w:pPr>
      <w:r w:rsidRPr="00BD09BC">
        <w:t>To what extent can localized polling unit data be synthesized to expose macro-level geographic trends, quantify overall party competitiveness, and isolate significant operational variances in voter engagement?</w:t>
      </w:r>
    </w:p>
    <w:p w14:paraId="22AE4AEA" w14:textId="77777777" w:rsidR="00BD09BC" w:rsidRPr="00BD09BC" w:rsidRDefault="00BD09BC" w:rsidP="00BD09BC">
      <w:pPr>
        <w:spacing w:line="276" w:lineRule="auto"/>
        <w:jc w:val="both"/>
        <w:rPr>
          <w:b/>
          <w:bCs/>
        </w:rPr>
      </w:pPr>
      <w:r w:rsidRPr="00BD09BC">
        <w:rPr>
          <w:b/>
          <w:bCs/>
        </w:rPr>
        <w:t>3. Aim and Objectives</w:t>
      </w:r>
    </w:p>
    <w:p w14:paraId="137CC129" w14:textId="77777777" w:rsidR="00BD09BC" w:rsidRPr="00BD09BC" w:rsidRDefault="00BD09BC" w:rsidP="00BD09BC">
      <w:pPr>
        <w:numPr>
          <w:ilvl w:val="0"/>
          <w:numId w:val="1"/>
        </w:numPr>
        <w:spacing w:line="276" w:lineRule="auto"/>
        <w:jc w:val="both"/>
      </w:pPr>
      <w:r w:rsidRPr="00BD09BC">
        <w:rPr>
          <w:b/>
          <w:bCs/>
        </w:rPr>
        <w:t>Aim:</w:t>
      </w:r>
      <w:r w:rsidRPr="00BD09BC">
        <w:t xml:space="preserve"> To bridge the gap between field-level documentation and strategic oversight by engineering a high-fidelity, interactive dashboard application that uncovers systemic voting patterns and behavioral insights.</w:t>
      </w:r>
    </w:p>
    <w:p w14:paraId="340B06AE" w14:textId="77777777" w:rsidR="00BD09BC" w:rsidRPr="00BD09BC" w:rsidRDefault="00BD09BC" w:rsidP="00BD09BC">
      <w:pPr>
        <w:numPr>
          <w:ilvl w:val="0"/>
          <w:numId w:val="1"/>
        </w:numPr>
        <w:spacing w:line="276" w:lineRule="auto"/>
        <w:jc w:val="both"/>
      </w:pPr>
      <w:r w:rsidRPr="00BD09BC">
        <w:rPr>
          <w:b/>
          <w:bCs/>
        </w:rPr>
        <w:t>Objectives:</w:t>
      </w:r>
    </w:p>
    <w:p w14:paraId="260C1150" w14:textId="77777777" w:rsidR="00BD09BC" w:rsidRPr="00BD09BC" w:rsidRDefault="00BD09BC" w:rsidP="00BD09BC">
      <w:pPr>
        <w:numPr>
          <w:ilvl w:val="1"/>
          <w:numId w:val="1"/>
        </w:numPr>
        <w:spacing w:line="276" w:lineRule="auto"/>
        <w:jc w:val="both"/>
      </w:pPr>
      <w:r w:rsidRPr="00BD09BC">
        <w:t>To extract, clean, and consolidate raw multi-tiered election data (State, LGA, and Ward levels) into a relational database view.</w:t>
      </w:r>
    </w:p>
    <w:p w14:paraId="3800E435" w14:textId="77777777" w:rsidR="00BD09BC" w:rsidRPr="00BD09BC" w:rsidRDefault="00BD09BC" w:rsidP="00BD09BC">
      <w:pPr>
        <w:numPr>
          <w:ilvl w:val="1"/>
          <w:numId w:val="1"/>
        </w:numPr>
        <w:spacing w:line="276" w:lineRule="auto"/>
        <w:jc w:val="both"/>
      </w:pPr>
      <w:r w:rsidRPr="00BD09BC">
        <w:t>To design an Executive Overview that monitors macro-performance metrics, national party vote share, and localized voter turnout leaderboards.</w:t>
      </w:r>
    </w:p>
    <w:p w14:paraId="153F9D4C" w14:textId="77777777" w:rsidR="00BD09BC" w:rsidRPr="00BD09BC" w:rsidRDefault="00BD09BC" w:rsidP="00BD09BC">
      <w:pPr>
        <w:numPr>
          <w:ilvl w:val="1"/>
          <w:numId w:val="1"/>
        </w:numPr>
        <w:spacing w:line="276" w:lineRule="auto"/>
        <w:jc w:val="both"/>
      </w:pPr>
      <w:r w:rsidRPr="00BD09BC">
        <w:t>To construct a Deep Insights model that evaluates competitive variance, identifies critical battleground regions, and maps party dominance structures.</w:t>
      </w:r>
    </w:p>
    <w:p w14:paraId="4482307F" w14:textId="525A419E" w:rsidR="00BD09BC" w:rsidRPr="00BD09BC" w:rsidRDefault="00BD09BC" w:rsidP="00BD09BC">
      <w:pPr>
        <w:numPr>
          <w:ilvl w:val="1"/>
          <w:numId w:val="1"/>
        </w:numPr>
        <w:spacing w:line="276" w:lineRule="auto"/>
        <w:jc w:val="both"/>
      </w:pPr>
      <w:r w:rsidRPr="00BD09BC">
        <w:t>To deploy user-focused interactivity features—including programmatic VBA navigation animations—to maximize data accessibility for end-users.</w:t>
      </w:r>
    </w:p>
    <w:p w14:paraId="4B0C5F43" w14:textId="77777777" w:rsidR="00BD09BC" w:rsidRDefault="00BD09BC" w:rsidP="00BD09BC">
      <w:pPr>
        <w:spacing w:line="276" w:lineRule="auto"/>
        <w:jc w:val="both"/>
        <w:rPr>
          <w:b/>
          <w:bCs/>
        </w:rPr>
      </w:pPr>
    </w:p>
    <w:p w14:paraId="518B4157" w14:textId="794E4725" w:rsidR="00BD09BC" w:rsidRPr="00BD09BC" w:rsidRDefault="00BD09BC" w:rsidP="00BD09BC">
      <w:pPr>
        <w:spacing w:line="276" w:lineRule="auto"/>
        <w:jc w:val="both"/>
        <w:rPr>
          <w:b/>
          <w:bCs/>
        </w:rPr>
      </w:pPr>
      <w:r w:rsidRPr="00BD09BC">
        <w:rPr>
          <w:b/>
          <w:bCs/>
        </w:rPr>
        <w:lastRenderedPageBreak/>
        <w:t>4. Methodology &amp; Architectural Overview</w:t>
      </w:r>
    </w:p>
    <w:p w14:paraId="66569233" w14:textId="77777777" w:rsidR="00BD09BC" w:rsidRPr="00BD09BC" w:rsidRDefault="00BD09BC" w:rsidP="00BD09BC">
      <w:pPr>
        <w:spacing w:line="276" w:lineRule="auto"/>
        <w:jc w:val="both"/>
      </w:pPr>
      <w:r w:rsidRPr="00BD09BC">
        <w:t xml:space="preserve">This study utilized a strict quantitative data analytics workflow. The underlying data repository was subjected to an extensive ETL (Extract, Transform, Load) pipeline to eliminate missing values, normalize structural discrepancies, and calculate advanced variance parameters (such as the </w:t>
      </w:r>
      <w:r w:rsidRPr="00BD09BC">
        <w:rPr>
          <w:i/>
          <w:iCs/>
        </w:rPr>
        <w:t>AB Vote Disparity</w:t>
      </w:r>
      <w:r w:rsidRPr="00BD09BC">
        <w:t xml:space="preserve"> metric). The front-end interface was engineered entirely within an optimized corporate design grid in Microsoft Excel, utilizing programmatic layout principles (hidden gridlines, customized object layer themes, and custom-coded conditional number formatting like [&gt;=1000]#,##0.0,"K") to simulate a native web-application interface.</w:t>
      </w:r>
    </w:p>
    <w:p w14:paraId="2233A870" w14:textId="77777777" w:rsidR="00BD09BC" w:rsidRPr="00BD09BC" w:rsidRDefault="00BD09BC" w:rsidP="00BD09BC">
      <w:pPr>
        <w:spacing w:line="276" w:lineRule="auto"/>
        <w:jc w:val="both"/>
        <w:rPr>
          <w:b/>
          <w:bCs/>
        </w:rPr>
      </w:pPr>
      <w:r w:rsidRPr="00BD09BC">
        <w:rPr>
          <w:b/>
          <w:bCs/>
        </w:rPr>
        <w:t>5. Answers to Key Research Questions (Core Findings)</w:t>
      </w:r>
    </w:p>
    <w:p w14:paraId="32D19878" w14:textId="77777777" w:rsidR="00BD09BC" w:rsidRPr="00BD09BC" w:rsidRDefault="00BD09BC" w:rsidP="00BD09BC">
      <w:pPr>
        <w:numPr>
          <w:ilvl w:val="0"/>
          <w:numId w:val="2"/>
        </w:numPr>
        <w:spacing w:line="276" w:lineRule="auto"/>
        <w:jc w:val="both"/>
      </w:pPr>
      <w:r w:rsidRPr="00BD09BC">
        <w:rPr>
          <w:b/>
          <w:bCs/>
        </w:rPr>
        <w:t>Geographic Distribution &amp; Scale:</w:t>
      </w:r>
      <w:r w:rsidRPr="00BD09BC">
        <w:t xml:space="preserve"> High-density urban zones and specific administrative capitals exhibit massive clustering effects. The data isolates areas like the Abuja Municipal Area Council (AMAC) and Rivers State as the high-volume operational engines of the election, carrying a disproportionate weight of total ballots processed.</w:t>
      </w:r>
    </w:p>
    <w:p w14:paraId="2DD30DE2" w14:textId="77777777" w:rsidR="00BD09BC" w:rsidRPr="00BD09BC" w:rsidRDefault="00BD09BC" w:rsidP="00BD09BC">
      <w:pPr>
        <w:numPr>
          <w:ilvl w:val="0"/>
          <w:numId w:val="2"/>
        </w:numPr>
        <w:spacing w:line="276" w:lineRule="auto"/>
        <w:jc w:val="both"/>
      </w:pPr>
      <w:r w:rsidRPr="00BD09BC">
        <w:rPr>
          <w:b/>
          <w:bCs/>
        </w:rPr>
        <w:t>National Competitiveness and the Spoiler Effect:</w:t>
      </w:r>
      <w:r w:rsidRPr="00BD09BC">
        <w:t xml:space="preserve"> The national political landscape reveals a tight, fragmented gridlock between the top two dominant parties (seated at a razor-thin 50% to 48% split). Crucially, the remaining 2% captured by the minor party functions as the definitive "spoiler effect." In an environment with a 2% margin of error, minor shifts in third-party alignment represent the ultimate kingmaker dynamic.</w:t>
      </w:r>
    </w:p>
    <w:p w14:paraId="14C86C39" w14:textId="77777777" w:rsidR="00BD09BC" w:rsidRPr="00BD09BC" w:rsidRDefault="00BD09BC" w:rsidP="00BD09BC">
      <w:pPr>
        <w:numPr>
          <w:ilvl w:val="0"/>
          <w:numId w:val="2"/>
        </w:numPr>
        <w:spacing w:line="276" w:lineRule="auto"/>
        <w:jc w:val="both"/>
      </w:pPr>
      <w:r w:rsidRPr="00BD09BC">
        <w:rPr>
          <w:b/>
          <w:bCs/>
        </w:rPr>
        <w:t>The Competitive Spectrum (Battlegrounds vs. Strongholds):</w:t>
      </w:r>
      <w:r w:rsidRPr="00BD09BC">
        <w:t xml:space="preserve"> By evaluating the </w:t>
      </w:r>
      <w:r w:rsidRPr="00BD09BC">
        <w:rPr>
          <w:i/>
          <w:iCs/>
        </w:rPr>
        <w:t>AB Vote Disparity</w:t>
      </w:r>
      <w:r w:rsidRPr="00BD09BC">
        <w:t>, the analytical model successfully separated regions into distinct behavioral buckets. Low-disparity zones represent high-friction "True Battlegrounds" where victory margins are razor-thin and highly reactive to local voter turnout rates. Conversely, high-disparity zones expose deeply entrenched party strongholds where oppositional campaign investments yield diminishing returns.</w:t>
      </w:r>
    </w:p>
    <w:p w14:paraId="67EC875E" w14:textId="77777777" w:rsidR="00BD09BC" w:rsidRPr="00BD09BC" w:rsidRDefault="00BD09BC" w:rsidP="00BD09BC">
      <w:pPr>
        <w:numPr>
          <w:ilvl w:val="0"/>
          <w:numId w:val="2"/>
        </w:numPr>
        <w:spacing w:line="276" w:lineRule="auto"/>
        <w:jc w:val="both"/>
      </w:pPr>
      <w:r w:rsidRPr="00BD09BC">
        <w:rPr>
          <w:b/>
          <w:bCs/>
        </w:rPr>
        <w:t>Granular Voter Engagement:</w:t>
      </w:r>
      <w:r w:rsidRPr="00BD09BC">
        <w:t xml:space="preserve"> Ward-level evaluation (led by clusters like Ward DP and Ward DO) reveals significant localized spikes in engagement. These micro-leaderboards identify precisely where operational efficiency is maximized and where logistics and oversight presence must be heavily concentrated in future cycles.</w:t>
      </w:r>
    </w:p>
    <w:p w14:paraId="781217FB" w14:textId="77777777" w:rsidR="00BD09BC" w:rsidRPr="00BD09BC" w:rsidRDefault="00BD09BC" w:rsidP="00BD09BC">
      <w:pPr>
        <w:spacing w:line="276" w:lineRule="auto"/>
        <w:jc w:val="both"/>
        <w:rPr>
          <w:b/>
          <w:bCs/>
        </w:rPr>
      </w:pPr>
      <w:r w:rsidRPr="00BD09BC">
        <w:rPr>
          <w:b/>
          <w:bCs/>
        </w:rPr>
        <w:t>6. Strategic Recommendations</w:t>
      </w:r>
    </w:p>
    <w:p w14:paraId="692EFB88" w14:textId="77777777" w:rsidR="00BD09BC" w:rsidRPr="00BD09BC" w:rsidRDefault="00BD09BC" w:rsidP="00BD09BC">
      <w:pPr>
        <w:numPr>
          <w:ilvl w:val="0"/>
          <w:numId w:val="3"/>
        </w:numPr>
        <w:spacing w:line="276" w:lineRule="auto"/>
        <w:jc w:val="both"/>
      </w:pPr>
      <w:r w:rsidRPr="00BD09BC">
        <w:rPr>
          <w:b/>
          <w:bCs/>
        </w:rPr>
        <w:t>Targeted Resource Allocation:</w:t>
      </w:r>
      <w:r w:rsidRPr="00BD09BC">
        <w:t xml:space="preserve"> Electoral administrators and observers should utilize the Top LGA and Ward leaderboards generated by this application to </w:t>
      </w:r>
      <w:r w:rsidRPr="00BD09BC">
        <w:lastRenderedPageBreak/>
        <w:t>optimize the deployment of physical infrastructure and security personnel to high-volume clusters.</w:t>
      </w:r>
    </w:p>
    <w:p w14:paraId="4A747A48" w14:textId="77777777" w:rsidR="00BD09BC" w:rsidRPr="00BD09BC" w:rsidRDefault="00BD09BC" w:rsidP="00BD09BC">
      <w:pPr>
        <w:numPr>
          <w:ilvl w:val="0"/>
          <w:numId w:val="3"/>
        </w:numPr>
        <w:spacing w:line="276" w:lineRule="auto"/>
        <w:jc w:val="both"/>
      </w:pPr>
      <w:r w:rsidRPr="00BD09BC">
        <w:rPr>
          <w:b/>
          <w:bCs/>
        </w:rPr>
        <w:t>Battleground Prioritization:</w:t>
      </w:r>
      <w:r w:rsidRPr="00BD09BC">
        <w:t xml:space="preserve"> Political strategists should pivot away from costly, entrenched strongholds (high-disparity zones) and reallocate campaign capitals directly into the high-friction battlegrounds identified on the left margin of the competitive spectrum chart.</w:t>
      </w:r>
    </w:p>
    <w:p w14:paraId="7183E8E1" w14:textId="77777777" w:rsidR="00BD09BC" w:rsidRPr="00BD09BC" w:rsidRDefault="00BD09BC" w:rsidP="00BD09BC">
      <w:pPr>
        <w:numPr>
          <w:ilvl w:val="0"/>
          <w:numId w:val="3"/>
        </w:numPr>
        <w:spacing w:line="276" w:lineRule="auto"/>
        <w:jc w:val="both"/>
      </w:pPr>
      <w:r w:rsidRPr="00BD09BC">
        <w:rPr>
          <w:b/>
          <w:bCs/>
        </w:rPr>
        <w:t>Institutional Software Adoption:</w:t>
      </w:r>
      <w:r w:rsidRPr="00BD09BC">
        <w:t xml:space="preserve"> It is highly recommended that reporting bodies transition away from static, row-level spreadsheet tracking and adopt interactive, visual overlays to ensure real-time, audit-ready transparency for international and domestic stakeholders.</w:t>
      </w:r>
    </w:p>
    <w:p w14:paraId="26A06C37" w14:textId="77777777" w:rsidR="00A36E2D" w:rsidRDefault="00A36E2D"/>
    <w:sectPr w:rsidR="00A36E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370A"/>
    <w:multiLevelType w:val="multilevel"/>
    <w:tmpl w:val="66DC8E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7C6936"/>
    <w:multiLevelType w:val="multilevel"/>
    <w:tmpl w:val="2DD25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2738B9"/>
    <w:multiLevelType w:val="multilevel"/>
    <w:tmpl w:val="BDB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619625">
    <w:abstractNumId w:val="0"/>
  </w:num>
  <w:num w:numId="2" w16cid:durableId="58750182">
    <w:abstractNumId w:val="2"/>
  </w:num>
  <w:num w:numId="3" w16cid:durableId="2061589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9BC"/>
    <w:rsid w:val="001B5C4A"/>
    <w:rsid w:val="004F25C8"/>
    <w:rsid w:val="007E01E2"/>
    <w:rsid w:val="007F48F3"/>
    <w:rsid w:val="00A1058F"/>
    <w:rsid w:val="00A36E2D"/>
    <w:rsid w:val="00BD09BC"/>
    <w:rsid w:val="00D63CF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ADAA6"/>
  <w15:chartTrackingRefBased/>
  <w15:docId w15:val="{B616CFF7-E2D4-4764-A417-3D0BA56CF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Heading2">
    <w:name w:val="My Heading 2"/>
    <w:basedOn w:val="Heading2"/>
    <w:link w:val="MyHeading2Char"/>
    <w:qFormat/>
    <w:rsid w:val="00A36E2D"/>
    <w:pPr>
      <w:spacing w:before="120" w:after="0" w:line="480" w:lineRule="auto"/>
      <w:jc w:val="both"/>
    </w:pPr>
    <w:rPr>
      <w:rFonts w:ascii="Times New Roman" w:hAnsi="Times New Roman" w:cs="Times New Roman"/>
      <w:b/>
      <w:bCs/>
      <w:color w:val="000000" w:themeColor="text1"/>
    </w:rPr>
  </w:style>
  <w:style w:type="character" w:customStyle="1" w:styleId="MyHeading2Char">
    <w:name w:val="My Heading 2 Char"/>
    <w:basedOn w:val="Heading2Char"/>
    <w:link w:val="MyHeading2"/>
    <w:rsid w:val="00A36E2D"/>
    <w:rPr>
      <w:rFonts w:ascii="Times New Roman" w:eastAsiaTheme="majorEastAsia" w:hAnsi="Times New Roman" w:cs="Times New Roman"/>
      <w:b/>
      <w:bCs/>
      <w:color w:val="000000" w:themeColor="text1"/>
      <w:sz w:val="32"/>
      <w:szCs w:val="32"/>
    </w:rPr>
  </w:style>
  <w:style w:type="character" w:customStyle="1" w:styleId="Heading2Char">
    <w:name w:val="Heading 2 Char"/>
    <w:basedOn w:val="DefaultParagraphFont"/>
    <w:link w:val="Heading2"/>
    <w:uiPriority w:val="9"/>
    <w:semiHidden/>
    <w:rsid w:val="00A36E2D"/>
    <w:rPr>
      <w:rFonts w:asciiTheme="majorHAnsi" w:eastAsiaTheme="majorEastAsia" w:hAnsiTheme="majorHAnsi" w:cstheme="majorBidi"/>
      <w:color w:val="0F4761" w:themeColor="accent1" w:themeShade="BF"/>
      <w:sz w:val="32"/>
      <w:szCs w:val="32"/>
    </w:rPr>
  </w:style>
  <w:style w:type="paragraph" w:customStyle="1" w:styleId="Style1">
    <w:name w:val="Style1"/>
    <w:basedOn w:val="Heading3"/>
    <w:link w:val="Style1Char"/>
    <w:qFormat/>
    <w:rsid w:val="004F25C8"/>
    <w:pPr>
      <w:spacing w:before="120" w:after="0" w:line="480" w:lineRule="auto"/>
      <w:jc w:val="both"/>
    </w:pPr>
    <w:rPr>
      <w:rFonts w:ascii="Times New Roman" w:hAnsi="Times New Roman" w:cs="Times New Roman"/>
      <w:b/>
      <w:bCs/>
      <w:color w:val="000000" w:themeColor="text1"/>
    </w:rPr>
  </w:style>
  <w:style w:type="character" w:customStyle="1" w:styleId="Style1Char">
    <w:name w:val="Style1 Char"/>
    <w:basedOn w:val="Heading3Char"/>
    <w:link w:val="Style1"/>
    <w:rsid w:val="004F25C8"/>
    <w:rPr>
      <w:rFonts w:ascii="Times New Roman" w:eastAsiaTheme="majorEastAsia" w:hAnsi="Times New Roman" w:cs="Times New Roman"/>
      <w:b/>
      <w:bCs/>
      <w:color w:val="000000" w:themeColor="text1"/>
      <w:sz w:val="28"/>
      <w:szCs w:val="28"/>
    </w:rPr>
  </w:style>
  <w:style w:type="character" w:customStyle="1" w:styleId="Heading3Char">
    <w:name w:val="Heading 3 Char"/>
    <w:basedOn w:val="DefaultParagraphFont"/>
    <w:link w:val="Heading3"/>
    <w:uiPriority w:val="9"/>
    <w:semiHidden/>
    <w:rsid w:val="004F25C8"/>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BD09BC"/>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semiHidden/>
    <w:rsid w:val="00BD0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9BC"/>
    <w:rPr>
      <w:rFonts w:eastAsiaTheme="majorEastAsia" w:cstheme="majorBidi"/>
      <w:color w:val="272727" w:themeColor="text1" w:themeTint="D8"/>
    </w:rPr>
  </w:style>
  <w:style w:type="paragraph" w:styleId="Title">
    <w:name w:val="Title"/>
    <w:basedOn w:val="Normal"/>
    <w:next w:val="Normal"/>
    <w:link w:val="TitleChar"/>
    <w:uiPriority w:val="10"/>
    <w:qFormat/>
    <w:rsid w:val="00BD0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9BC"/>
    <w:pPr>
      <w:spacing w:before="160"/>
      <w:jc w:val="center"/>
    </w:pPr>
    <w:rPr>
      <w:i/>
      <w:iCs/>
      <w:color w:val="404040" w:themeColor="text1" w:themeTint="BF"/>
    </w:rPr>
  </w:style>
  <w:style w:type="character" w:customStyle="1" w:styleId="QuoteChar">
    <w:name w:val="Quote Char"/>
    <w:basedOn w:val="DefaultParagraphFont"/>
    <w:link w:val="Quote"/>
    <w:uiPriority w:val="29"/>
    <w:rsid w:val="00BD09BC"/>
    <w:rPr>
      <w:i/>
      <w:iCs/>
      <w:color w:val="404040" w:themeColor="text1" w:themeTint="BF"/>
    </w:rPr>
  </w:style>
  <w:style w:type="paragraph" w:styleId="ListParagraph">
    <w:name w:val="List Paragraph"/>
    <w:basedOn w:val="Normal"/>
    <w:uiPriority w:val="34"/>
    <w:qFormat/>
    <w:rsid w:val="00BD09BC"/>
    <w:pPr>
      <w:ind w:left="720"/>
      <w:contextualSpacing/>
    </w:pPr>
  </w:style>
  <w:style w:type="character" w:styleId="IntenseEmphasis">
    <w:name w:val="Intense Emphasis"/>
    <w:basedOn w:val="DefaultParagraphFont"/>
    <w:uiPriority w:val="21"/>
    <w:qFormat/>
    <w:rsid w:val="00BD09BC"/>
    <w:rPr>
      <w:i/>
      <w:iCs/>
      <w:color w:val="0F4761" w:themeColor="accent1" w:themeShade="BF"/>
    </w:rPr>
  </w:style>
  <w:style w:type="paragraph" w:styleId="IntenseQuote">
    <w:name w:val="Intense Quote"/>
    <w:basedOn w:val="Normal"/>
    <w:next w:val="Normal"/>
    <w:link w:val="IntenseQuoteChar"/>
    <w:uiPriority w:val="30"/>
    <w:qFormat/>
    <w:rsid w:val="00BD0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9BC"/>
    <w:rPr>
      <w:i/>
      <w:iCs/>
      <w:color w:val="0F4761" w:themeColor="accent1" w:themeShade="BF"/>
    </w:rPr>
  </w:style>
  <w:style w:type="character" w:styleId="IntenseReference">
    <w:name w:val="Intense Reference"/>
    <w:basedOn w:val="DefaultParagraphFont"/>
    <w:uiPriority w:val="32"/>
    <w:qFormat/>
    <w:rsid w:val="00BD0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747</Words>
  <Characters>4262</Characters>
  <Application>Microsoft Office Word</Application>
  <DocSecurity>0</DocSecurity>
  <Lines>35</Lines>
  <Paragraphs>9</Paragraphs>
  <ScaleCrop>false</ScaleCrop>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Obikpe</dc:creator>
  <cp:keywords/>
  <dc:description/>
  <cp:lastModifiedBy>Peter Obikpe</cp:lastModifiedBy>
  <cp:revision>3</cp:revision>
  <dcterms:created xsi:type="dcterms:W3CDTF">2026-06-12T18:54:00Z</dcterms:created>
  <dcterms:modified xsi:type="dcterms:W3CDTF">2026-06-12T19:19:00Z</dcterms:modified>
</cp:coreProperties>
</file>