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>
  <w:body>
    <w:p w14:paraId="00000001">
      <w:bookmarkStart w:id="0" w:name="_Ref_1"/>
      <w:r>
        <w:t xml:space="preserve">IN THE HIGH COURT OF JUSTICE</w:t>
      </w:r>
      <w:bookmarkEnd w:id="0"/>
      <w:r>
        <w:drawing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<wp:inline distT="0" distB="0" distL="0" distR="0">
            <wp:extent cx="9525" cy="9525"/>
            <wp:effectExtent l="0" t="0" r="0" b="0"/>
            <wp:docPr id="1" name="fig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r>
        <w:t xml:space="preserve">KING'S BENCH DIVISION</w:t>
      </w:r>
      <w:r>
        <w:fldChar w:fldCharType="begin"/>
      </w:r>
      <w:r>
        <w:instrText xml:space="preserve"> REF _Ref_1 </w:instrText>
      </w:r>
      <w:r>
        <w:fldChar w:fldCharType="separate"/>
      </w:r>
      <w:r>
        <w:t xml:space="preserve">IN THE HIGH COURT OF JUSTICE</w:t>
      </w:r>
      <w:r>
        <w:fldChar w:fldCharType="end"/>
      </w:r>
    </w:p>
    <w:p w14:paraId="00000003">
      <w:r>
        <w:t xml:space="preserve"/>
      </w:r>
    </w:p>
    <w:p w14:paraId="00000004">
      <w:r>
        <w:t xml:space="preserve">Claim No: REF/2024/0123</w:t>
      </w:r>
    </w:p>
    <w:p w14:paraId="00000005">
      <w:r>
        <w:t xml:space="preserve"/>
      </w:r>
    </w:p>
    <w:p w14:paraId="00000006">
      <w:r>
        <w:t xml:space="preserve">BETWEEN:</w:t>
      </w:r>
    </w:p>
    <w:p w14:paraId="00000007">
      <w:r>
        <w:t xml:space="preserve"/>
      </w:r>
    </w:p>
    <w:p w14:paraId="00000008">
      <w:r>
        <w:t xml:space="preserve">Mr James Cartwright (Claimant)</w:t>
      </w:r>
    </w:p>
    <w:p w14:paraId="00000009">
      <w:r>
        <w:t xml:space="preserve">and</w:t>
      </w:r>
    </w:p>
    <w:p w14:paraId="0000000A">
      <w:r>
        <w:t xml:space="preserve">Mrs Sarah Chen (Defendant)</w:t>
      </w:r>
    </w:p>
    <w:p w14:paraId="0000000B">
      <w:r>
        <w:t xml:space="preserve"/>
      </w:r>
    </w:p>
    <w:p w14:paraId="0000000C">
      <w:r>
        <w:t xml:space="preserve">SKELETON ARGUMENT OF THE CLAIMANT</w:t>
      </w:r>
    </w:p>
    <w:p w14:paraId="0000000D">
      <w:r>
        <w:t xml:space="preserve"/>
      </w:r>
    </w:p>
    <w:p w14:paraId="0000000E">
      <w:r>
        <w:t xml:space="preserve">1. The Claimant, Mr James Cartwright of 42 Belgrave Road, Leicester LE4 5AB, was born on 10 June 1956.</w:t>
      </w:r>
    </w:p>
    <w:p w14:paraId="0000000F">
      <w:r>
        <w:t xml:space="preserve">2. His National Insurance number is JX 12 34 56 D. His email is j.cartwright@personal.example and telephone is 07700 900482.</w:t>
      </w:r>
    </w:p>
    <w:p w14:paraId="00000010">
      <w:r>
        <w:t xml:space="preserve">3. The Defendant is represented by Smith &amp; Jones Solicitors LLP of 78 High Holborn, London WC1V 6XX; telephone 020 7946 0958.</w:t>
      </w:r>
    </w:p>
    <w:p w14:paraId="00000011">
      <w:r>
        <w:t xml:space="preserve">4. The hearing is listed for 15 March 2024. Costs should be paid to account number 12345678, sort code 12-34-56.</w:t>
      </w:r>
    </w:p>
    <w:p w14:paraId="00000012">
      <w:r>
        <w:t xml:space="preserve">5. In Smith v Jones [2023] EWHC 1234 (QB), the court held that the present facts are distinguishable.</w:t>
      </w:r>
    </w:p>
    <w:p w14:paraId="00000013">
      <w:r>
        <w:t xml:space="preserve">6. Mr Justice Holroyd presides. Ms Priya Sharma appears as counsel.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/Relationships>
</file>