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 Boundary dispute — Mill Farm</w:t>
      </w:r>
    </w:p>
    <w:p>
      <w:r>
        <w:t xml:space="preserve">Paragraph 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3.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4.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5.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6.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7.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8.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9.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10.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Schedule of correspondence</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From</w:t>
            </w:r>
          </w:p>
        </w:tc>
        <w:tc>
          <w:tcPr>
            <w:tcW w:type="dxa" w:w="2160"/>
          </w:tcPr>
          <w:p>
            <w:r>
              <w:t>To</w:t>
            </w:r>
          </w:p>
        </w:tc>
        <w:tc>
          <w:tcPr>
            <w:tcW w:type="dxa" w:w="2160"/>
          </w:tcPr>
          <w:p>
            <w:r>
              <w:t>Subject</w:t>
            </w:r>
          </w:p>
        </w:tc>
      </w:tr>
      <w:tr>
        <w:tc>
          <w:tcPr>
            <w:tcW w:type="dxa" w:w="2160"/>
          </w:tcPr>
          <w:p>
            <w:r>
              <w:t>2024-01-11</w:t>
            </w:r>
          </w:p>
        </w:tc>
        <w:tc>
          <w:tcPr>
            <w:tcW w:type="dxa" w:w="2160"/>
          </w:tcPr>
          <w:p>
            <w:r>
              <w:t>Seller</w:t>
            </w:r>
          </w:p>
        </w:tc>
        <w:tc>
          <w:tcPr>
            <w:tcW w:type="dxa" w:w="2160"/>
          </w:tcPr>
          <w:p>
            <w:r>
              <w:t>Buyer</w:t>
            </w:r>
          </w:p>
        </w:tc>
        <w:tc>
          <w:tcPr>
            <w:tcW w:type="dxa" w:w="2160"/>
          </w:tcPr>
          <w:p>
            <w:r>
              <w:t xml:space="preserve">Replies and enclosures 1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2024-02-12</w:t>
            </w:r>
          </w:p>
        </w:tc>
        <w:tc>
          <w:tcPr>
            <w:tcW w:type="dxa" w:w="2160"/>
          </w:tcPr>
          <w:p>
            <w:r>
              <w:t>Seller</w:t>
            </w:r>
          </w:p>
        </w:tc>
        <w:tc>
          <w:tcPr>
            <w:tcW w:type="dxa" w:w="2160"/>
          </w:tcPr>
          <w:p>
            <w:r>
              <w:t>Buyer</w:t>
            </w:r>
          </w:p>
        </w:tc>
        <w:tc>
          <w:tcPr>
            <w:tcW w:type="dxa" w:w="2160"/>
          </w:tcPr>
          <w:p>
            <w:r>
              <w:t xml:space="preserve">Replies and enclosures 2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2024-03-13</w:t>
            </w:r>
          </w:p>
        </w:tc>
        <w:tc>
          <w:tcPr>
            <w:tcW w:type="dxa" w:w="2160"/>
          </w:tcPr>
          <w:p>
            <w:r>
              <w:t>Seller</w:t>
            </w:r>
          </w:p>
        </w:tc>
        <w:tc>
          <w:tcPr>
            <w:tcW w:type="dxa" w:w="2160"/>
          </w:tcPr>
          <w:p>
            <w:r>
              <w:t>Buyer</w:t>
            </w:r>
          </w:p>
        </w:tc>
        <w:tc>
          <w:tcPr>
            <w:tcW w:type="dxa" w:w="2160"/>
          </w:tcPr>
          <w:p>
            <w:r>
              <w:t xml:space="preserve">Replies and enclosures 3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2024-04-14</w:t>
            </w:r>
          </w:p>
        </w:tc>
        <w:tc>
          <w:tcPr>
            <w:tcW w:type="dxa" w:w="2160"/>
          </w:tcPr>
          <w:p>
            <w:r>
              <w:t>Seller</w:t>
            </w:r>
          </w:p>
        </w:tc>
        <w:tc>
          <w:tcPr>
            <w:tcW w:type="dxa" w:w="2160"/>
          </w:tcPr>
          <w:p>
            <w:r>
              <w:t>Buyer</w:t>
            </w:r>
          </w:p>
        </w:tc>
        <w:tc>
          <w:tcPr>
            <w:tcW w:type="dxa" w:w="2160"/>
          </w:tcPr>
          <w:p>
            <w:r>
              <w:t xml:space="preserve">Replies and enclosures 4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2024-05-15</w:t>
            </w:r>
          </w:p>
        </w:tc>
        <w:tc>
          <w:tcPr>
            <w:tcW w:type="dxa" w:w="2160"/>
          </w:tcPr>
          <w:p>
            <w:r>
              <w:t>Seller</w:t>
            </w:r>
          </w:p>
        </w:tc>
        <w:tc>
          <w:tcPr>
            <w:tcW w:type="dxa" w:w="2160"/>
          </w:tcPr>
          <w:p>
            <w:r>
              <w:t>Buyer</w:t>
            </w:r>
          </w:p>
        </w:tc>
        <w:tc>
          <w:tcPr>
            <w:tcW w:type="dxa" w:w="2160"/>
          </w:tcPr>
          <w:p>
            <w:r>
              <w:t xml:space="preserve">Replies and enclosures 5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2024-06-16</w:t>
            </w:r>
          </w:p>
        </w:tc>
        <w:tc>
          <w:tcPr>
            <w:tcW w:type="dxa" w:w="2160"/>
          </w:tcPr>
          <w:p>
            <w:r>
              <w:t>Seller</w:t>
            </w:r>
          </w:p>
        </w:tc>
        <w:tc>
          <w:tcPr>
            <w:tcW w:type="dxa" w:w="2160"/>
          </w:tcPr>
          <w:p>
            <w:r>
              <w:t>Buyer</w:t>
            </w:r>
          </w:p>
        </w:tc>
        <w:tc>
          <w:tcPr>
            <w:tcW w:type="dxa" w:w="2160"/>
          </w:tcPr>
          <w:p>
            <w:r>
              <w:t xml:space="preserve">Replies and enclosures 6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2024-07-17</w:t>
            </w:r>
          </w:p>
        </w:tc>
        <w:tc>
          <w:tcPr>
            <w:tcW w:type="dxa" w:w="2160"/>
          </w:tcPr>
          <w:p>
            <w:r>
              <w:t>Seller</w:t>
            </w:r>
          </w:p>
        </w:tc>
        <w:tc>
          <w:tcPr>
            <w:tcW w:type="dxa" w:w="2160"/>
          </w:tcPr>
          <w:p>
            <w:r>
              <w:t>Buyer</w:t>
            </w:r>
          </w:p>
        </w:tc>
        <w:tc>
          <w:tcPr>
            <w:tcW w:type="dxa" w:w="2160"/>
          </w:tcPr>
          <w:p>
            <w:r>
              <w:t xml:space="preserve">Replies and enclosures 7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r>
        <w:tc>
          <w:tcPr>
            <w:tcW w:type="dxa" w:w="2160"/>
          </w:tcPr>
          <w:p>
            <w:r>
              <w:t>2024-08-18</w:t>
            </w:r>
          </w:p>
        </w:tc>
        <w:tc>
          <w:tcPr>
            <w:tcW w:type="dxa" w:w="2160"/>
          </w:tcPr>
          <w:p>
            <w:r>
              <w:t>Seller</w:t>
            </w:r>
          </w:p>
        </w:tc>
        <w:tc>
          <w:tcPr>
            <w:tcW w:type="dxa" w:w="2160"/>
          </w:tcPr>
          <w:p>
            <w:r>
              <w:t>Buyer</w:t>
            </w:r>
          </w:p>
        </w:tc>
        <w:tc>
          <w:tcPr>
            <w:tcW w:type="dxa" w:w="2160"/>
          </w:tcPr>
          <w:p>
            <w:r>
              <w:t xml:space="preserve">Replies and enclosures 8 Dear Mr Cartwright, We write further to your letter of 14 March regarding the boundary dispute at Mill Farm. Our client instructs us that the fence line has stood unaltered since September 2011, and the Land Registry plan for title number AB123456 supports that position. </w:t>
            </w:r>
          </w:p>
        </w:tc>
      </w:tr>
    </w:tbl>
    <w:p>
      <w:r>
        <w:t xml:space="preserve">After-table paragraph 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After-table paragraph 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After-table paragraph 3.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After-table paragraph 4.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
  <cp:revision>1</cp:revision>
  <dcterms:created xsi:type="dcterms:W3CDTF">2013-12-23T23:15:00Z</dcterms:created>
  <dcterms:modified xsi:type="dcterms:W3CDTF">2013-12-23T23:15:00Z</dcterms:modified>
  <cp:category/>
</cp:coreProperties>
</file>