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sidR="00A11B2C">
        <w:t>Re: Boundary dispute — Mill Farm</w:t>
      </w:r>
    </w:p>
    <w:p>
      <w:r w:rsidR="00A11B2C">
        <w:t xml:space="preserve">Paragraph 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rsidR="00A11B2C">
        <w:t xml:space="preserve">Paragraph 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ins w:author="Test Reviewer" w:date="2024-05-01T10:00:00Z">
        <w:r>
          <w:t>Inserted on review: the gatehouse paddock is excluded. Dear Mr Cartwright, We write further to your letter of 14 March regarding the boundary dispute at Mill Farm. Our client instructs us that the fence line has stood unaltered since September 2011, and the Land Registry plan for title number AB123456 supports that position. </w:t>
        </w:r>
      </w:ins>
    </w:p>
    <w:p>
      <w:r w:rsidR="00A11B2C">
        <w:t xml:space="preserve">Paragraph 3.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rsidR="00A11B2C">
        <w:t xml:space="preserve">Paragraph 4.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del w:author="Test Reviewer" w:date="2024-05-02T10:00:00Z">
        <w:r>
          <w:delText>Deleted on review: the earlier admission is withdrawn. Dear Mr Cartwright, We write further to your letter of 14 March regarding the boundary dispute at Mill Farm. Our client instructs us that the fence line has stood unaltered since September 2011, and the Land Registry plan for title number AB123456 supports that position. </w:delText>
        </w:r>
      </w:del>
    </w:p>
    <w:p>
      <w:r w:rsidR="00A11B2C">
        <w:t xml:space="preserve">Paragraph 5.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6.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7.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8.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9.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10.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
  <cp:revision>1</cp:revision>
  <dcterms:created xsi:type="dcterms:W3CDTF">2013-12-23T23:15:00Z</dcterms:created>
  <dcterms:modified xsi:type="dcterms:W3CDTF">2013-12-23T23:15:00Z</dcterms:modified>
  <cp:category/>
</cp:coreProperties>
</file>