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Título descriptivo (neutro)</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Análisis bibliométrico y temático asistido por minería de texto sobre el uso de inteligencia artificial en investigación clínica (2023–2025): una scoping review</w:t>
        <w:br w:type="textWrapping"/>
      </w:r>
    </w:p>
    <w:p w:rsidR="00000000" w:rsidDel="00000000" w:rsidP="00000000" w:rsidRDefault="00000000" w:rsidRPr="00000000" w14:paraId="00000002">
      <w:pPr>
        <w:numPr>
          <w:ilvl w:val="0"/>
          <w:numId w:val="3"/>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Título informativo</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De la precisión técnica a la implementación responsable: scoping review computacional de 8,522 estudios sobre IA en investigación clínica (2023–2025) con énfasis en privacidad, ética y sistemas RAG</w:t>
        <w:br w:type="textWrapping"/>
      </w:r>
    </w:p>
    <w:p w:rsidR="00000000" w:rsidDel="00000000" w:rsidP="00000000" w:rsidRDefault="00000000" w:rsidRPr="00000000" w14:paraId="00000003">
      <w:pPr>
        <w:numPr>
          <w:ilvl w:val="0"/>
          <w:numId w:val="3"/>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Título creativo/metafórico</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Cartografiando el océano de la inteligencia artificial clínica: mapeo bibliométrico y temático (2023–2025) hacia una implementación ética apoyada en RAG</w:t>
        <w:br w:type="textWrapping"/>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ddg897ujgq3c" w:id="0"/>
      <w:bookmarkEnd w:id="0"/>
      <w:r w:rsidDel="00000000" w:rsidR="00000000" w:rsidRPr="00000000">
        <w:rPr>
          <w:rFonts w:ascii="Times New Roman" w:cs="Times New Roman" w:eastAsia="Times New Roman" w:hAnsi="Times New Roman"/>
          <w:b w:val="1"/>
          <w:bCs w:val="1"/>
          <w:color w:val="000000"/>
          <w:sz w:val="26"/>
          <w:szCs w:val="26"/>
          <w:rtl w:val="0"/>
        </w:rPr>
        <w:t xml:space="preserve">2.2. Resumen (Abstract) estructurado</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w:t>
        <w:br w:type="textWrapping"/>
      </w:r>
      <w:r w:rsidDel="00000000" w:rsidR="00000000" w:rsidRPr="00000000">
        <w:rPr>
          <w:rFonts w:ascii="Times New Roman" w:cs="Times New Roman" w:eastAsia="Times New Roman" w:hAnsi="Times New Roman"/>
          <w:rtl w:val="0"/>
        </w:rPr>
        <w:t xml:space="preserve"> Mapear la literatura reciente sobre la aplicación de inteligencia artificial (IA) en investigación clínica en el periodo 2023–2025, mediante una </w:t>
      </w:r>
      <w:r w:rsidDel="00000000" w:rsidR="00000000" w:rsidRPr="00000000">
        <w:rPr>
          <w:rFonts w:ascii="Times New Roman" w:cs="Times New Roman" w:eastAsia="Times New Roman" w:hAnsi="Times New Roman"/>
          <w:i w:val="1"/>
          <w:iCs w:val="1"/>
          <w:rtl w:val="0"/>
        </w:rPr>
        <w:t xml:space="preserve">scoping review</w:t>
      </w:r>
      <w:r w:rsidDel="00000000" w:rsidR="00000000" w:rsidRPr="00000000">
        <w:rPr>
          <w:rFonts w:ascii="Times New Roman" w:cs="Times New Roman" w:eastAsia="Times New Roman" w:hAnsi="Times New Roman"/>
          <w:rtl w:val="0"/>
        </w:rPr>
        <w:t xml:space="preserve"> asistida por técnicas de minería de texto, con el fin de identificar clústeres temáticos, tendencias emergentes y vacíos relacionados con la implementación responsable de la IA.</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Métodos</w:t>
        <w:br w:type="textWrapping"/>
      </w:r>
      <w:r w:rsidDel="00000000" w:rsidR="00000000" w:rsidRPr="00000000">
        <w:rPr>
          <w:rFonts w:ascii="Times New Roman" w:cs="Times New Roman" w:eastAsia="Times New Roman" w:hAnsi="Times New Roman"/>
          <w:rtl w:val="0"/>
        </w:rPr>
        <w:t xml:space="preserve"> Se realizó un análisis computacional de </w:t>
      </w:r>
      <w:r w:rsidDel="00000000" w:rsidR="00000000" w:rsidRPr="00000000">
        <w:rPr>
          <w:rFonts w:ascii="Times New Roman" w:cs="Times New Roman" w:eastAsia="Times New Roman" w:hAnsi="Times New Roman"/>
          <w:b w:val="1"/>
          <w:bCs w:val="1"/>
          <w:rtl w:val="0"/>
        </w:rPr>
        <w:t xml:space="preserve">8,522 documentos</w:t>
      </w:r>
      <w:r w:rsidDel="00000000" w:rsidR="00000000" w:rsidRPr="00000000">
        <w:rPr>
          <w:rFonts w:ascii="Times New Roman" w:cs="Times New Roman" w:eastAsia="Times New Roman" w:hAnsi="Times New Roman"/>
          <w:rtl w:val="0"/>
        </w:rPr>
        <w:t xml:space="preserve"> recuperados de Scopus, PubMed y ClinicalTrials.gov. La selección de estudios se inspiró en el flujo PRISMA, incluyendo fases de identificación, cribado, elegibilidad e inclusión. Los textos (títulos y resúmenes) fueron preprocesados mediante eliminación de duplicados, filtrado por idioma, depuración de </w:t>
      </w:r>
      <w:r w:rsidDel="00000000" w:rsidR="00000000" w:rsidRPr="00000000">
        <w:rPr>
          <w:rFonts w:ascii="Times New Roman" w:cs="Times New Roman" w:eastAsia="Times New Roman" w:hAnsi="Times New Roman"/>
          <w:i w:val="1"/>
          <w:iCs w:val="1"/>
          <w:rtl w:val="0"/>
        </w:rPr>
        <w:t xml:space="preserve">stopwords</w:t>
      </w:r>
      <w:r w:rsidDel="00000000" w:rsidR="00000000" w:rsidRPr="00000000">
        <w:rPr>
          <w:rFonts w:ascii="Times New Roman" w:cs="Times New Roman" w:eastAsia="Times New Roman" w:hAnsi="Times New Roman"/>
          <w:rtl w:val="0"/>
        </w:rPr>
        <w:t xml:space="preserve"> generales y académicas y aplicación de técnicas de </w:t>
      </w:r>
      <w:r w:rsidDel="00000000" w:rsidR="00000000" w:rsidRPr="00000000">
        <w:rPr>
          <w:rFonts w:ascii="Times New Roman" w:cs="Times New Roman" w:eastAsia="Times New Roman" w:hAnsi="Times New Roman"/>
          <w:i w:val="1"/>
          <w:iCs w:val="1"/>
          <w:rtl w:val="0"/>
        </w:rPr>
        <w:t xml:space="preserve">stemming</w:t>
      </w:r>
      <w:r w:rsidDel="00000000" w:rsidR="00000000" w:rsidRPr="00000000">
        <w:rPr>
          <w:rFonts w:ascii="Times New Roman" w:cs="Times New Roman" w:eastAsia="Times New Roman" w:hAnsi="Times New Roman"/>
          <w:rtl w:val="0"/>
        </w:rPr>
        <w:t xml:space="preserve"> o lematización. Posteriormente, los documentos se vectorizaron con </w:t>
      </w:r>
      <w:r w:rsidDel="00000000" w:rsidR="00000000" w:rsidRPr="00000000">
        <w:rPr>
          <w:rFonts w:ascii="Times New Roman" w:cs="Times New Roman" w:eastAsia="Times New Roman" w:hAnsi="Times New Roman"/>
          <w:b w:val="1"/>
          <w:bCs w:val="1"/>
          <w:rtl w:val="0"/>
        </w:rPr>
        <w:t xml:space="preserve">TF–IDF</w:t>
      </w:r>
      <w:r w:rsidDel="00000000" w:rsidR="00000000" w:rsidRPr="00000000">
        <w:rPr>
          <w:rFonts w:ascii="Times New Roman" w:cs="Times New Roman" w:eastAsia="Times New Roman" w:hAnsi="Times New Roman"/>
          <w:rtl w:val="0"/>
        </w:rPr>
        <w:t xml:space="preserve"> y se agruparon mediante </w:t>
      </w:r>
      <w:r w:rsidDel="00000000" w:rsidR="00000000" w:rsidRPr="00000000">
        <w:rPr>
          <w:rFonts w:ascii="Times New Roman" w:cs="Times New Roman" w:eastAsia="Times New Roman" w:hAnsi="Times New Roman"/>
          <w:b w:val="1"/>
          <w:bCs w:val="1"/>
          <w:rtl w:val="0"/>
        </w:rPr>
        <w:t xml:space="preserve">MiniBatchKMeans</w:t>
      </w:r>
      <w:r w:rsidDel="00000000" w:rsidR="00000000" w:rsidRPr="00000000">
        <w:rPr>
          <w:rFonts w:ascii="Times New Roman" w:cs="Times New Roman" w:eastAsia="Times New Roman" w:hAnsi="Times New Roman"/>
          <w:rtl w:val="0"/>
        </w:rPr>
        <w:t xml:space="preserve"> con </w:t>
      </w:r>
      <w:r w:rsidDel="00000000" w:rsidR="00000000" w:rsidRPr="00000000">
        <w:rPr>
          <w:rFonts w:ascii="Times New Roman" w:cs="Times New Roman" w:eastAsia="Times New Roman" w:hAnsi="Times New Roman"/>
          <w:b w:val="1"/>
          <w:bCs w:val="1"/>
          <w:rtl w:val="0"/>
        </w:rPr>
        <w:t xml:space="preserve">k = 10</w:t>
      </w:r>
      <w:r w:rsidDel="00000000" w:rsidR="00000000" w:rsidRPr="00000000">
        <w:rPr>
          <w:rFonts w:ascii="Times New Roman" w:cs="Times New Roman" w:eastAsia="Times New Roman" w:hAnsi="Times New Roman"/>
          <w:rtl w:val="0"/>
        </w:rPr>
        <w:t xml:space="preserve"> clústeres. La elección de k se justificó mediante el </w:t>
      </w:r>
      <w:r w:rsidDel="00000000" w:rsidR="00000000" w:rsidRPr="00000000">
        <w:rPr>
          <w:rFonts w:ascii="Times New Roman" w:cs="Times New Roman" w:eastAsia="Times New Roman" w:hAnsi="Times New Roman"/>
          <w:b w:val="1"/>
          <w:bCs w:val="1"/>
          <w:rtl w:val="0"/>
        </w:rPr>
        <w:t xml:space="preserve">Método del Codo</w:t>
      </w:r>
      <w:r w:rsidDel="00000000" w:rsidR="00000000" w:rsidRPr="00000000">
        <w:rPr>
          <w:rFonts w:ascii="Times New Roman" w:cs="Times New Roman" w:eastAsia="Times New Roman" w:hAnsi="Times New Roman"/>
          <w:rtl w:val="0"/>
        </w:rPr>
        <w:t xml:space="preserve"> y el </w:t>
      </w:r>
      <w:r w:rsidDel="00000000" w:rsidR="00000000" w:rsidRPr="00000000">
        <w:rPr>
          <w:rFonts w:ascii="Times New Roman" w:cs="Times New Roman" w:eastAsia="Times New Roman" w:hAnsi="Times New Roman"/>
          <w:b w:val="1"/>
          <w:bCs w:val="1"/>
          <w:rtl w:val="0"/>
        </w:rPr>
        <w:t xml:space="preserve">Coeficiente de Silueta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Resultados</w:t>
        <w:br w:type="textWrapping"/>
      </w:r>
      <w:r w:rsidDel="00000000" w:rsidR="00000000" w:rsidRPr="00000000">
        <w:rPr>
          <w:rFonts w:ascii="Times New Roman" w:cs="Times New Roman" w:eastAsia="Times New Roman" w:hAnsi="Times New Roman"/>
          <w:rtl w:val="0"/>
        </w:rPr>
        <w:t xml:space="preserve"> El análisis identificó </w:t>
      </w:r>
      <w:r w:rsidDel="00000000" w:rsidR="00000000" w:rsidRPr="00000000">
        <w:rPr>
          <w:rFonts w:ascii="Times New Roman" w:cs="Times New Roman" w:eastAsia="Times New Roman" w:hAnsi="Times New Roman"/>
          <w:b w:val="1"/>
          <w:bCs w:val="1"/>
          <w:rtl w:val="0"/>
        </w:rPr>
        <w:t xml:space="preserve">10 clústeres temáticos</w:t>
      </w:r>
      <w:r w:rsidDel="00000000" w:rsidR="00000000" w:rsidRPr="00000000">
        <w:rPr>
          <w:rFonts w:ascii="Times New Roman" w:cs="Times New Roman" w:eastAsia="Times New Roman" w:hAnsi="Times New Roman"/>
          <w:rtl w:val="0"/>
        </w:rPr>
        <w:t xml:space="preserve"> que abarcaron, entre otros, integración sistémica de IA en salud, modelos predictivos de riesgo, imagenología médica, privacidad y ética, y aplicaciones de procesamiento del lenguaje natural sobre registros electrónicos de salud. Se observó un crecimiento sostenido de los trabajos centrados en </w:t>
      </w:r>
      <w:r w:rsidDel="00000000" w:rsidR="00000000" w:rsidRPr="00000000">
        <w:rPr>
          <w:rFonts w:ascii="Times New Roman" w:cs="Times New Roman" w:eastAsia="Times New Roman" w:hAnsi="Times New Roman"/>
          <w:b w:val="1"/>
          <w:bCs w:val="1"/>
          <w:rtl w:val="0"/>
        </w:rPr>
        <w:t xml:space="preserve">gestión e integración de IA en sistemas sanitarios (Clúster 0)</w:t>
      </w:r>
      <w:r w:rsidDel="00000000" w:rsidR="00000000" w:rsidRPr="00000000">
        <w:rPr>
          <w:rFonts w:ascii="Times New Roman" w:cs="Times New Roman" w:eastAsia="Times New Roman" w:hAnsi="Times New Roman"/>
          <w:rtl w:val="0"/>
        </w:rPr>
        <w:t xml:space="preserve"> y una </w:t>
      </w:r>
      <w:r w:rsidDel="00000000" w:rsidR="00000000" w:rsidRPr="00000000">
        <w:rPr>
          <w:rFonts w:ascii="Times New Roman" w:cs="Times New Roman" w:eastAsia="Times New Roman" w:hAnsi="Times New Roman"/>
          <w:b w:val="1"/>
          <w:bCs w:val="1"/>
          <w:rtl w:val="0"/>
        </w:rPr>
        <w:t xml:space="preserve">estabilidad relativa de los modelos predictivos (Clúster 1)</w:t>
      </w:r>
      <w:r w:rsidDel="00000000" w:rsidR="00000000" w:rsidRPr="00000000">
        <w:rPr>
          <w:rFonts w:ascii="Times New Roman" w:cs="Times New Roman" w:eastAsia="Times New Roman" w:hAnsi="Times New Roman"/>
          <w:rtl w:val="0"/>
        </w:rPr>
        <w:t xml:space="preserve">. El clúster de </w:t>
      </w:r>
      <w:r w:rsidDel="00000000" w:rsidR="00000000" w:rsidRPr="00000000">
        <w:rPr>
          <w:rFonts w:ascii="Times New Roman" w:cs="Times New Roman" w:eastAsia="Times New Roman" w:hAnsi="Times New Roman"/>
          <w:b w:val="1"/>
          <w:bCs w:val="1"/>
          <w:rtl w:val="0"/>
        </w:rPr>
        <w:t xml:space="preserve">imagenología basada en </w:t>
      </w:r>
      <w:r w:rsidDel="00000000" w:rsidR="00000000" w:rsidRPr="00000000">
        <w:rPr>
          <w:rFonts w:ascii="Times New Roman" w:cs="Times New Roman" w:eastAsia="Times New Roman" w:hAnsi="Times New Roman"/>
          <w:b w:val="1"/>
          <w:bCs w:val="1"/>
          <w:i w:val="1"/>
          <w:iCs w:val="1"/>
          <w:rtl w:val="0"/>
        </w:rPr>
        <w:t xml:space="preserve">deep learning</w:t>
      </w:r>
      <w:r w:rsidDel="00000000" w:rsidR="00000000" w:rsidRPr="00000000">
        <w:rPr>
          <w:rFonts w:ascii="Times New Roman" w:cs="Times New Roman" w:eastAsia="Times New Roman" w:hAnsi="Times New Roman"/>
          <w:b w:val="1"/>
          <w:bCs w:val="1"/>
          <w:rtl w:val="0"/>
        </w:rPr>
        <w:t xml:space="preserve"> (Clúster 3)</w:t>
      </w:r>
      <w:r w:rsidDel="00000000" w:rsidR="00000000" w:rsidRPr="00000000">
        <w:rPr>
          <w:rFonts w:ascii="Times New Roman" w:cs="Times New Roman" w:eastAsia="Times New Roman" w:hAnsi="Times New Roman"/>
          <w:rtl w:val="0"/>
        </w:rPr>
        <w:t xml:space="preserve"> se mantuvo como el de mayor volumen, aunque con una ligera disminución proporcional. Destacó un </w:t>
      </w:r>
      <w:r w:rsidDel="00000000" w:rsidR="00000000" w:rsidRPr="00000000">
        <w:rPr>
          <w:rFonts w:ascii="Times New Roman" w:cs="Times New Roman" w:eastAsia="Times New Roman" w:hAnsi="Times New Roman"/>
          <w:b w:val="1"/>
          <w:bCs w:val="1"/>
          <w:rtl w:val="0"/>
        </w:rPr>
        <w:t xml:space="preserve">aumento marcado de estudios sobre privacidad, seguridad y modelos federados/generativos (Clúster 4)</w:t>
      </w:r>
      <w:r w:rsidDel="00000000" w:rsidR="00000000" w:rsidRPr="00000000">
        <w:rPr>
          <w:rFonts w:ascii="Times New Roman" w:cs="Times New Roman" w:eastAsia="Times New Roman" w:hAnsi="Times New Roman"/>
          <w:rtl w:val="0"/>
        </w:rPr>
        <w:t xml:space="preserve">, así como la </w:t>
      </w:r>
      <w:r w:rsidDel="00000000" w:rsidR="00000000" w:rsidRPr="00000000">
        <w:rPr>
          <w:rFonts w:ascii="Times New Roman" w:cs="Times New Roman" w:eastAsia="Times New Roman" w:hAnsi="Times New Roman"/>
          <w:b w:val="1"/>
          <w:bCs w:val="1"/>
          <w:rtl w:val="0"/>
        </w:rPr>
        <w:t xml:space="preserve">emergencia de trabajos en NLP y LLMs sobre EHR (Clúster 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Conclusión</w:t>
        <w:br w:type="textWrapping"/>
      </w:r>
      <w:r w:rsidDel="00000000" w:rsidR="00000000" w:rsidRPr="00000000">
        <w:rPr>
          <w:rFonts w:ascii="Times New Roman" w:cs="Times New Roman" w:eastAsia="Times New Roman" w:hAnsi="Times New Roman"/>
          <w:rtl w:val="0"/>
        </w:rPr>
        <w:t xml:space="preserve"> Los hallazgos sugieren que la IA aplicada a la investigación clínica está transitando desde una preocupación casi exclusiva por la precisión técnica hacia la </w:t>
      </w:r>
      <w:r w:rsidDel="00000000" w:rsidR="00000000" w:rsidRPr="00000000">
        <w:rPr>
          <w:rFonts w:ascii="Times New Roman" w:cs="Times New Roman" w:eastAsia="Times New Roman" w:hAnsi="Times New Roman"/>
          <w:b w:val="1"/>
          <w:bCs w:val="1"/>
          <w:rtl w:val="0"/>
        </w:rPr>
        <w:t xml:space="preserve">implementación ética, segura y explicable</w:t>
      </w:r>
      <w:r w:rsidDel="00000000" w:rsidR="00000000" w:rsidRPr="00000000">
        <w:rPr>
          <w:rFonts w:ascii="Times New Roman" w:cs="Times New Roman" w:eastAsia="Times New Roman" w:hAnsi="Times New Roman"/>
          <w:rtl w:val="0"/>
        </w:rPr>
        <w:t xml:space="preserve">. En este contexto, los </w:t>
      </w:r>
      <w:r w:rsidDel="00000000" w:rsidR="00000000" w:rsidRPr="00000000">
        <w:rPr>
          <w:rFonts w:ascii="Times New Roman" w:cs="Times New Roman" w:eastAsia="Times New Roman" w:hAnsi="Times New Roman"/>
          <w:b w:val="1"/>
          <w:bCs w:val="1"/>
          <w:rtl w:val="0"/>
        </w:rPr>
        <w:t xml:space="preserve">sistemas de </w:t>
      </w:r>
      <w:r w:rsidDel="00000000" w:rsidR="00000000" w:rsidRPr="00000000">
        <w:rPr>
          <w:rFonts w:ascii="Times New Roman" w:cs="Times New Roman" w:eastAsia="Times New Roman" w:hAnsi="Times New Roman"/>
          <w:b w:val="1"/>
          <w:bCs w:val="1"/>
          <w:i w:val="1"/>
          <w:iCs w:val="1"/>
          <w:rtl w:val="0"/>
        </w:rPr>
        <w:t xml:space="preserve">Retrieval-Augmented Generation</w:t>
      </w:r>
      <w:r w:rsidDel="00000000" w:rsidR="00000000" w:rsidRPr="00000000">
        <w:rPr>
          <w:rFonts w:ascii="Times New Roman" w:cs="Times New Roman" w:eastAsia="Times New Roman" w:hAnsi="Times New Roman"/>
          <w:b w:val="1"/>
          <w:bCs w:val="1"/>
          <w:rtl w:val="0"/>
        </w:rPr>
        <w:t xml:space="preserve"> (RAG)</w:t>
      </w:r>
      <w:r w:rsidDel="00000000" w:rsidR="00000000" w:rsidRPr="00000000">
        <w:rPr>
          <w:rFonts w:ascii="Times New Roman" w:cs="Times New Roman" w:eastAsia="Times New Roman" w:hAnsi="Times New Roman"/>
          <w:rtl w:val="0"/>
        </w:rPr>
        <w:t xml:space="preserve"> emergen como una infraestructura clave para reducir alucinaciones, anclar las respuestas en evidencia verificable y mantener la literatura actualizada, constituyéndose en una herramienta estratégica para revisar la propia ciencia de la IA.</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kvptt9f341t5" w:id="1"/>
      <w:bookmarkEnd w:id="1"/>
      <w:r w:rsidDel="00000000" w:rsidR="00000000" w:rsidRPr="00000000">
        <w:rPr>
          <w:rFonts w:ascii="Times New Roman" w:cs="Times New Roman" w:eastAsia="Times New Roman" w:hAnsi="Times New Roman"/>
          <w:b w:val="1"/>
          <w:bCs w:val="1"/>
          <w:color w:val="000000"/>
          <w:sz w:val="26"/>
          <w:szCs w:val="26"/>
          <w:rtl w:val="0"/>
        </w:rPr>
        <w:t xml:space="preserve">2.3. Introducción</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irrupción de la inteligencia artificial (IA) en el ámbito de la salud ha generado una expansión sin precedentes en la producción científica. En pocos años, los estudios sobre aprendizaje automático, </w:t>
      </w:r>
      <w:r w:rsidDel="00000000" w:rsidR="00000000" w:rsidRPr="00000000">
        <w:rPr>
          <w:rFonts w:ascii="Times New Roman" w:cs="Times New Roman" w:eastAsia="Times New Roman" w:hAnsi="Times New Roman"/>
          <w:i w:val="1"/>
          <w:iCs w:val="1"/>
          <w:rtl w:val="0"/>
        </w:rPr>
        <w:t xml:space="preserve">deep learning</w:t>
      </w:r>
      <w:r w:rsidDel="00000000" w:rsidR="00000000" w:rsidRPr="00000000">
        <w:rPr>
          <w:rFonts w:ascii="Times New Roman" w:cs="Times New Roman" w:eastAsia="Times New Roman" w:hAnsi="Times New Roman"/>
          <w:rtl w:val="0"/>
        </w:rPr>
        <w:t xml:space="preserve">, modelos generativos y grandes modelos de lenguaje (LLMs) aplicados a la investigación clínica han crecido de forma exponencial. Este fenómeno ha intensificado lo que algunos autores describen como </w:t>
      </w:r>
      <w:r w:rsidDel="00000000" w:rsidR="00000000" w:rsidRPr="00000000">
        <w:rPr>
          <w:rFonts w:ascii="Times New Roman" w:cs="Times New Roman" w:eastAsia="Times New Roman" w:hAnsi="Times New Roman"/>
          <w:b w:val="1"/>
          <w:bCs w:val="1"/>
          <w:rtl w:val="0"/>
        </w:rPr>
        <w:t xml:space="preserve">“infoxicación”</w:t>
      </w:r>
      <w:r w:rsidDel="00000000" w:rsidR="00000000" w:rsidRPr="00000000">
        <w:rPr>
          <w:rFonts w:ascii="Times New Roman" w:cs="Times New Roman" w:eastAsia="Times New Roman" w:hAnsi="Times New Roman"/>
          <w:rtl w:val="0"/>
        </w:rPr>
        <w:t xml:space="preserve">, es decir, la sobrecarga informativa que dificulta distinguir, organizar y sintetizar la evidencia relevante en un tiempo razonable. En el caso específico de la IA clínica, la magnitud y diversidad temática de las publicaciones hacen que una revisión manual exhaustiva resulte, en la práctica, </w:t>
      </w:r>
      <w:r w:rsidDel="00000000" w:rsidR="00000000" w:rsidRPr="00000000">
        <w:rPr>
          <w:rFonts w:ascii="Times New Roman" w:cs="Times New Roman" w:eastAsia="Times New Roman" w:hAnsi="Times New Roman"/>
          <w:b w:val="1"/>
          <w:bCs w:val="1"/>
          <w:rtl w:val="0"/>
        </w:rPr>
        <w:t xml:space="preserve">impracticable</w:t>
      </w:r>
      <w:r w:rsidDel="00000000" w:rsidR="00000000" w:rsidRPr="00000000">
        <w:rPr>
          <w:rFonts w:ascii="Times New Roman" w:cs="Times New Roman" w:eastAsia="Times New Roman" w:hAnsi="Times New Roman"/>
          <w:rtl w:val="0"/>
        </w:rPr>
        <w:t xml:space="preserve">, tanto por las limitaciones humanas como por la velocidad con la que se actualiza el campo.</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la IA clínica no se limita a un único dominio. Abarca desde modelos de predicción de riesgo para eventos adversos hasta sistemas de ayuda al diagnóstico basados en imagenología, pasando por aplicaciones en monitorización remota, estratificación de pacientes, descubrimiento de fármacos y análisis automatizado de historias clínicas. Más recientemente, la irrupción de la </w:t>
      </w:r>
      <w:r w:rsidDel="00000000" w:rsidR="00000000" w:rsidRPr="00000000">
        <w:rPr>
          <w:rFonts w:ascii="Times New Roman" w:cs="Times New Roman" w:eastAsia="Times New Roman" w:hAnsi="Times New Roman"/>
          <w:b w:val="1"/>
          <w:bCs w:val="1"/>
          <w:rtl w:val="0"/>
        </w:rPr>
        <w:t xml:space="preserve">IA generativa y los LLMs</w:t>
      </w:r>
      <w:r w:rsidDel="00000000" w:rsidR="00000000" w:rsidRPr="00000000">
        <w:rPr>
          <w:rFonts w:ascii="Times New Roman" w:cs="Times New Roman" w:eastAsia="Times New Roman" w:hAnsi="Times New Roman"/>
          <w:rtl w:val="0"/>
        </w:rPr>
        <w:t xml:space="preserve"> ha introducido nuevas posibilidades para la redacción de textos científicos, la generación de hipótesis, el asesoramiento clínico y el soporte a la toma de decisiones. Sin embargo, estos avances vienen acompañados de desafíos sustantivos en términos de </w:t>
      </w:r>
      <w:r w:rsidDel="00000000" w:rsidR="00000000" w:rsidRPr="00000000">
        <w:rPr>
          <w:rFonts w:ascii="Times New Roman" w:cs="Times New Roman" w:eastAsia="Times New Roman" w:hAnsi="Times New Roman"/>
          <w:b w:val="1"/>
          <w:bCs w:val="1"/>
          <w:rtl w:val="0"/>
        </w:rPr>
        <w:t xml:space="preserve">privacidad, seguridad, confiabilidad, explicabilidad y gobernanza ética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Metodológicamente, la literatura en salud ha recurrido tradicionalmente a las </w:t>
      </w:r>
      <w:r w:rsidDel="00000000" w:rsidR="00000000" w:rsidRPr="00000000">
        <w:rPr>
          <w:rFonts w:ascii="Times New Roman" w:cs="Times New Roman" w:eastAsia="Times New Roman" w:hAnsi="Times New Roman"/>
          <w:b w:val="1"/>
          <w:bCs w:val="1"/>
          <w:rtl w:val="0"/>
        </w:rPr>
        <w:t xml:space="preserve">Revisiones Sistemáticas</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i w:val="1"/>
          <w:iCs w:val="1"/>
          <w:rtl w:val="0"/>
        </w:rPr>
        <w:t xml:space="preserve">meta-análisis</w:t>
      </w:r>
      <w:r w:rsidDel="00000000" w:rsidR="00000000" w:rsidRPr="00000000">
        <w:rPr>
          <w:rFonts w:ascii="Times New Roman" w:cs="Times New Roman" w:eastAsia="Times New Roman" w:hAnsi="Times New Roman"/>
          <w:rtl w:val="0"/>
        </w:rPr>
        <w:t xml:space="preserve"> para responder preguntas específicas formuladas en términos PICO (Población, Intervención, Comparador, Outcome). Estas revisiones se centran en valorar la eficacia o seguridad de intervenciones concretas, exigiendo una evaluación detallada del riesgo de sesgo de cada estudio incluido. No obstante, cuando el objetivo es </w:t>
      </w:r>
      <w:r w:rsidDel="00000000" w:rsidR="00000000" w:rsidRPr="00000000">
        <w:rPr>
          <w:rFonts w:ascii="Times New Roman" w:cs="Times New Roman" w:eastAsia="Times New Roman" w:hAnsi="Times New Roman"/>
          <w:b w:val="1"/>
          <w:bCs w:val="1"/>
          <w:rtl w:val="0"/>
        </w:rPr>
        <w:t xml:space="preserve">explorar un campo emergente amplio, heterogéneo y en rápida expansión</w:t>
      </w:r>
      <w:r w:rsidDel="00000000" w:rsidR="00000000" w:rsidRPr="00000000">
        <w:rPr>
          <w:rFonts w:ascii="Times New Roman" w:cs="Times New Roman" w:eastAsia="Times New Roman" w:hAnsi="Times New Roman"/>
          <w:rtl w:val="0"/>
        </w:rPr>
        <w:t xml:space="preserve">, como la IA en investigación clínica, la aproximación sistemática clásica puede resultar insuficiente o incluso inadecuada.</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tales escenarios, las </w:t>
      </w:r>
      <w:r w:rsidDel="00000000" w:rsidR="00000000" w:rsidRPr="00000000">
        <w:rPr>
          <w:rFonts w:ascii="Times New Roman" w:cs="Times New Roman" w:eastAsia="Times New Roman" w:hAnsi="Times New Roman"/>
          <w:b w:val="1"/>
          <w:bCs w:val="1"/>
          <w:rtl w:val="0"/>
        </w:rPr>
        <w:t xml:space="preserve">Scoping Reviews</w:t>
      </w:r>
      <w:r w:rsidDel="00000000" w:rsidR="00000000" w:rsidRPr="00000000">
        <w:rPr>
          <w:rFonts w:ascii="Times New Roman" w:cs="Times New Roman" w:eastAsia="Times New Roman" w:hAnsi="Times New Roman"/>
          <w:rtl w:val="0"/>
        </w:rPr>
        <w:t xml:space="preserve"> se han consolidado como un diseño metodológico adecuado para </w:t>
      </w:r>
      <w:r w:rsidDel="00000000" w:rsidR="00000000" w:rsidRPr="00000000">
        <w:rPr>
          <w:rFonts w:ascii="Times New Roman" w:cs="Times New Roman" w:eastAsia="Times New Roman" w:hAnsi="Times New Roman"/>
          <w:b w:val="1"/>
          <w:bCs w:val="1"/>
          <w:rtl w:val="0"/>
        </w:rPr>
        <w:t xml:space="preserve">mapear conceptos clave, tipos de evidencia disponibles y vacíos de conocimiento</w:t>
      </w:r>
      <w:r w:rsidDel="00000000" w:rsidR="00000000" w:rsidRPr="00000000">
        <w:rPr>
          <w:rFonts w:ascii="Times New Roman" w:cs="Times New Roman" w:eastAsia="Times New Roman" w:hAnsi="Times New Roman"/>
          <w:rtl w:val="0"/>
        </w:rPr>
        <w:t xml:space="preserve">, más que para estimar efectos cuantitativos. De acuerdo con los marcos propuestos por </w:t>
      </w:r>
      <w:r w:rsidDel="00000000" w:rsidR="00000000" w:rsidRPr="00000000">
        <w:rPr>
          <w:rFonts w:ascii="Times New Roman" w:cs="Times New Roman" w:eastAsia="Times New Roman" w:hAnsi="Times New Roman"/>
          <w:b w:val="1"/>
          <w:bCs w:val="1"/>
          <w:rtl w:val="0"/>
        </w:rPr>
        <w:t xml:space="preserve">Arksey y O’Malley</w:t>
      </w:r>
      <w:r w:rsidDel="00000000" w:rsidR="00000000" w:rsidRPr="00000000">
        <w:rPr>
          <w:rFonts w:ascii="Times New Roman" w:cs="Times New Roman" w:eastAsia="Times New Roman" w:hAnsi="Times New Roman"/>
          <w:rtl w:val="0"/>
        </w:rPr>
        <w:t xml:space="preserve"> y desarrollados posteriormente por el </w:t>
      </w:r>
      <w:r w:rsidDel="00000000" w:rsidR="00000000" w:rsidRPr="00000000">
        <w:rPr>
          <w:rFonts w:ascii="Times New Roman" w:cs="Times New Roman" w:eastAsia="Times New Roman" w:hAnsi="Times New Roman"/>
          <w:b w:val="1"/>
          <w:bCs w:val="1"/>
          <w:rtl w:val="0"/>
        </w:rPr>
        <w:t xml:space="preserve">Joanna Briggs Institute (JBI)</w:t>
      </w:r>
      <w:r w:rsidDel="00000000" w:rsidR="00000000" w:rsidRPr="00000000">
        <w:rPr>
          <w:rFonts w:ascii="Times New Roman" w:cs="Times New Roman" w:eastAsia="Times New Roman" w:hAnsi="Times New Roman"/>
          <w:rtl w:val="0"/>
        </w:rPr>
        <w:t xml:space="preserve">, la </w:t>
      </w:r>
      <w:r w:rsidDel="00000000" w:rsidR="00000000" w:rsidRPr="00000000">
        <w:rPr>
          <w:rFonts w:ascii="Times New Roman" w:cs="Times New Roman" w:eastAsia="Times New Roman" w:hAnsi="Times New Roman"/>
          <w:i w:val="1"/>
          <w:iCs w:val="1"/>
          <w:rtl w:val="0"/>
        </w:rPr>
        <w:t xml:space="preserve">scoping review</w:t>
      </w:r>
      <w:r w:rsidDel="00000000" w:rsidR="00000000" w:rsidRPr="00000000">
        <w:rPr>
          <w:rFonts w:ascii="Times New Roman" w:cs="Times New Roman" w:eastAsia="Times New Roman" w:hAnsi="Times New Roman"/>
          <w:rtl w:val="0"/>
        </w:rPr>
        <w:t xml:space="preserve"> se orienta a ofrecer una visión panorámica, identificar tendencias, delimitar subcampos y orientar futuras revisiones sistemáticas o estudios primarios. El foco no está en evaluar exhaustivamente la calidad metodológica de cada estudio, sino en describir y organizar el paisaje de la evidencia.</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conjunción entre </w:t>
      </w:r>
      <w:r w:rsidDel="00000000" w:rsidR="00000000" w:rsidRPr="00000000">
        <w:rPr>
          <w:rFonts w:ascii="Times New Roman" w:cs="Times New Roman" w:eastAsia="Times New Roman" w:hAnsi="Times New Roman"/>
          <w:b w:val="1"/>
          <w:bCs w:val="1"/>
          <w:rtl w:val="0"/>
        </w:rPr>
        <w:t xml:space="preserve">Scoping Review y herramientas computacionales de minería de texto</w:t>
      </w:r>
      <w:r w:rsidDel="00000000" w:rsidR="00000000" w:rsidRPr="00000000">
        <w:rPr>
          <w:rFonts w:ascii="Times New Roman" w:cs="Times New Roman" w:eastAsia="Times New Roman" w:hAnsi="Times New Roman"/>
          <w:rtl w:val="0"/>
        </w:rPr>
        <w:t xml:space="preserve"> abre una oportunidad metodológica particularmente pertinente para la IA clínica. Por un lado, la lógica PRISMA permite explicitar de forma transparente el proceso de búsqueda, cribado, elegibilidad e inclusión de estudios, aportando trazabilidad y reproducibilidad. Por otro lado, técnicas de </w:t>
      </w:r>
      <w:r w:rsidDel="00000000" w:rsidR="00000000" w:rsidRPr="00000000">
        <w:rPr>
          <w:rFonts w:ascii="Times New Roman" w:cs="Times New Roman" w:eastAsia="Times New Roman" w:hAnsi="Times New Roman"/>
          <w:b w:val="1"/>
          <w:bCs w:val="1"/>
          <w:rtl w:val="0"/>
        </w:rPr>
        <w:t xml:space="preserve">Procesamiento de Lenguaje Natural (NLP)</w:t>
      </w:r>
      <w:r w:rsidDel="00000000" w:rsidR="00000000" w:rsidRPr="00000000">
        <w:rPr>
          <w:rFonts w:ascii="Times New Roman" w:cs="Times New Roman" w:eastAsia="Times New Roman" w:hAnsi="Times New Roman"/>
          <w:rtl w:val="0"/>
        </w:rPr>
        <w:t xml:space="preserve">, como la vectorización mediante TF–IDF y el </w:t>
      </w:r>
      <w:r w:rsidDel="00000000" w:rsidR="00000000" w:rsidRPr="00000000">
        <w:rPr>
          <w:rFonts w:ascii="Times New Roman" w:cs="Times New Roman" w:eastAsia="Times New Roman" w:hAnsi="Times New Roman"/>
          <w:i w:val="1"/>
          <w:iCs w:val="1"/>
          <w:rtl w:val="0"/>
        </w:rPr>
        <w:t xml:space="preserve">clustering</w:t>
      </w:r>
      <w:r w:rsidDel="00000000" w:rsidR="00000000" w:rsidRPr="00000000">
        <w:rPr>
          <w:rFonts w:ascii="Times New Roman" w:cs="Times New Roman" w:eastAsia="Times New Roman" w:hAnsi="Times New Roman"/>
          <w:rtl w:val="0"/>
        </w:rPr>
        <w:t xml:space="preserve"> no supervisado (por ejemplo, MiniBatchKMeans), permiten estructurar grandes colecciones de documentos en </w:t>
      </w:r>
      <w:r w:rsidDel="00000000" w:rsidR="00000000" w:rsidRPr="00000000">
        <w:rPr>
          <w:rFonts w:ascii="Times New Roman" w:cs="Times New Roman" w:eastAsia="Times New Roman" w:hAnsi="Times New Roman"/>
          <w:b w:val="1"/>
          <w:bCs w:val="1"/>
          <w:rtl w:val="0"/>
        </w:rPr>
        <w:t xml:space="preserve">clústeres temáticos</w:t>
      </w:r>
      <w:r w:rsidDel="00000000" w:rsidR="00000000" w:rsidRPr="00000000">
        <w:rPr>
          <w:rFonts w:ascii="Times New Roman" w:cs="Times New Roman" w:eastAsia="Times New Roman" w:hAnsi="Times New Roman"/>
          <w:rtl w:val="0"/>
        </w:rPr>
        <w:t xml:space="preserve">, a partir de patrones de coocurrencia de términos. Ello facilita identificar subcampos, tendencias temporales y áreas emergentes que serían difíciles de captar mediante lectura manual aislada.</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periodo </w:t>
      </w:r>
      <w:r w:rsidDel="00000000" w:rsidR="00000000" w:rsidRPr="00000000">
        <w:rPr>
          <w:rFonts w:ascii="Times New Roman" w:cs="Times New Roman" w:eastAsia="Times New Roman" w:hAnsi="Times New Roman"/>
          <w:b w:val="1"/>
          <w:bCs w:val="1"/>
          <w:rtl w:val="0"/>
        </w:rPr>
        <w:t xml:space="preserve">2023–2025</w:t>
      </w:r>
      <w:r w:rsidDel="00000000" w:rsidR="00000000" w:rsidRPr="00000000">
        <w:rPr>
          <w:rFonts w:ascii="Times New Roman" w:cs="Times New Roman" w:eastAsia="Times New Roman" w:hAnsi="Times New Roman"/>
          <w:rtl w:val="0"/>
        </w:rPr>
        <w:t xml:space="preserve">, este tipo de enfoque resulta especialmente relevante. No solo se ha intensificado el uso de modelos de </w:t>
      </w:r>
      <w:r w:rsidDel="00000000" w:rsidR="00000000" w:rsidRPr="00000000">
        <w:rPr>
          <w:rFonts w:ascii="Times New Roman" w:cs="Times New Roman" w:eastAsia="Times New Roman" w:hAnsi="Times New Roman"/>
          <w:b w:val="1"/>
          <w:bCs w:val="1"/>
          <w:rtl w:val="0"/>
        </w:rPr>
        <w:t xml:space="preserve">aprendizaje profundo para imagenología</w:t>
      </w:r>
      <w:r w:rsidDel="00000000" w:rsidR="00000000" w:rsidRPr="00000000">
        <w:rPr>
          <w:rFonts w:ascii="Times New Roman" w:cs="Times New Roman" w:eastAsia="Times New Roman" w:hAnsi="Times New Roman"/>
          <w:rtl w:val="0"/>
        </w:rPr>
        <w:t xml:space="preserve">, sino que han cobrado protagonismo nuevas preocupaciones, tales como la </w:t>
      </w:r>
      <w:r w:rsidDel="00000000" w:rsidR="00000000" w:rsidRPr="00000000">
        <w:rPr>
          <w:rFonts w:ascii="Times New Roman" w:cs="Times New Roman" w:eastAsia="Times New Roman" w:hAnsi="Times New Roman"/>
          <w:b w:val="1"/>
          <w:bCs w:val="1"/>
          <w:rtl w:val="0"/>
        </w:rPr>
        <w:t xml:space="preserve">privacidad y seguridad de los datos, el aprendizaje federado, la regulación de la IA generativa y la necesidad de sistemas explicables y auditables</w:t>
      </w:r>
      <w:r w:rsidDel="00000000" w:rsidR="00000000" w:rsidRPr="00000000">
        <w:rPr>
          <w:rFonts w:ascii="Times New Roman" w:cs="Times New Roman" w:eastAsia="Times New Roman" w:hAnsi="Times New Roman"/>
          <w:rtl w:val="0"/>
        </w:rPr>
        <w:t xml:space="preserve">. En paralelo, aplicaciones basadas en NLP y LLMs sobre </w:t>
      </w:r>
      <w:r w:rsidDel="00000000" w:rsidR="00000000" w:rsidRPr="00000000">
        <w:rPr>
          <w:rFonts w:ascii="Times New Roman" w:cs="Times New Roman" w:eastAsia="Times New Roman" w:hAnsi="Times New Roman"/>
          <w:b w:val="1"/>
          <w:bCs w:val="1"/>
          <w:rtl w:val="0"/>
        </w:rPr>
        <w:t xml:space="preserve">registros electrónicos de salud (EHR)</w:t>
      </w:r>
      <w:r w:rsidDel="00000000" w:rsidR="00000000" w:rsidRPr="00000000">
        <w:rPr>
          <w:rFonts w:ascii="Times New Roman" w:cs="Times New Roman" w:eastAsia="Times New Roman" w:hAnsi="Times New Roman"/>
          <w:rtl w:val="0"/>
        </w:rPr>
        <w:t xml:space="preserve"> han comenzado a configurarse como un clúster emergente, planteando retos adicionales sobre la reutilización de datos sensibles y el control de las alucinaciones de los modelos.</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trabajo se propone una </w:t>
      </w:r>
      <w:r w:rsidDel="00000000" w:rsidR="00000000" w:rsidRPr="00000000">
        <w:rPr>
          <w:rFonts w:ascii="Times New Roman" w:cs="Times New Roman" w:eastAsia="Times New Roman" w:hAnsi="Times New Roman"/>
          <w:b w:val="1"/>
          <w:bCs w:val="1"/>
          <w:rtl w:val="0"/>
        </w:rPr>
        <w:t xml:space="preserve">Scoping Review asistida por minería de texto</w:t>
      </w:r>
      <w:r w:rsidDel="00000000" w:rsidR="00000000" w:rsidRPr="00000000">
        <w:rPr>
          <w:rFonts w:ascii="Times New Roman" w:cs="Times New Roman" w:eastAsia="Times New Roman" w:hAnsi="Times New Roman"/>
          <w:rtl w:val="0"/>
        </w:rPr>
        <w:t xml:space="preserve"> sobre </w:t>
      </w:r>
      <w:r w:rsidDel="00000000" w:rsidR="00000000" w:rsidRPr="00000000">
        <w:rPr>
          <w:rFonts w:ascii="Times New Roman" w:cs="Times New Roman" w:eastAsia="Times New Roman" w:hAnsi="Times New Roman"/>
          <w:b w:val="1"/>
          <w:bCs w:val="1"/>
          <w:rtl w:val="0"/>
        </w:rPr>
        <w:t xml:space="preserve">8,522 documentos</w:t>
      </w:r>
      <w:r w:rsidDel="00000000" w:rsidR="00000000" w:rsidRPr="00000000">
        <w:rPr>
          <w:rFonts w:ascii="Times New Roman" w:cs="Times New Roman" w:eastAsia="Times New Roman" w:hAnsi="Times New Roman"/>
          <w:rtl w:val="0"/>
        </w:rPr>
        <w:t xml:space="preserve"> relacionados con la aplicación de IA en investigación clínica, publicados entre 2023 y 2025 e indexados en Scopus, PubMed y ClinicalTrials.gov. La revisión combina un flujo de selección inspirado en </w:t>
      </w:r>
      <w:r w:rsidDel="00000000" w:rsidR="00000000" w:rsidRPr="00000000">
        <w:rPr>
          <w:rFonts w:ascii="Times New Roman" w:cs="Times New Roman" w:eastAsia="Times New Roman" w:hAnsi="Times New Roman"/>
          <w:b w:val="1"/>
          <w:bCs w:val="1"/>
          <w:rtl w:val="0"/>
        </w:rPr>
        <w:t xml:space="preserve">PRISMA</w:t>
      </w:r>
      <w:r w:rsidDel="00000000" w:rsidR="00000000" w:rsidRPr="00000000">
        <w:rPr>
          <w:rFonts w:ascii="Times New Roman" w:cs="Times New Roman" w:eastAsia="Times New Roman" w:hAnsi="Times New Roman"/>
          <w:rtl w:val="0"/>
        </w:rPr>
        <w:t xml:space="preserve"> con un análisis de textos basado en </w:t>
      </w:r>
      <w:r w:rsidDel="00000000" w:rsidR="00000000" w:rsidRPr="00000000">
        <w:rPr>
          <w:rFonts w:ascii="Times New Roman" w:cs="Times New Roman" w:eastAsia="Times New Roman" w:hAnsi="Times New Roman"/>
          <w:b w:val="1"/>
          <w:bCs w:val="1"/>
          <w:rtl w:val="0"/>
        </w:rPr>
        <w:t xml:space="preserve">TF–IDF</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bCs w:val="1"/>
          <w:rtl w:val="0"/>
        </w:rPr>
        <w:t xml:space="preserve">MiniBatchKMeans (k = 10)</w:t>
      </w:r>
      <w:r w:rsidDel="00000000" w:rsidR="00000000" w:rsidRPr="00000000">
        <w:rPr>
          <w:rFonts w:ascii="Times New Roman" w:cs="Times New Roman" w:eastAsia="Times New Roman" w:hAnsi="Times New Roman"/>
          <w:rtl w:val="0"/>
        </w:rPr>
        <w:t xml:space="preserve">, validado mediante el </w:t>
      </w:r>
      <w:r w:rsidDel="00000000" w:rsidR="00000000" w:rsidRPr="00000000">
        <w:rPr>
          <w:rFonts w:ascii="Times New Roman" w:cs="Times New Roman" w:eastAsia="Times New Roman" w:hAnsi="Times New Roman"/>
          <w:b w:val="1"/>
          <w:bCs w:val="1"/>
          <w:rtl w:val="0"/>
        </w:rPr>
        <w:t xml:space="preserve">Método del Codo</w:t>
      </w:r>
      <w:r w:rsidDel="00000000" w:rsidR="00000000" w:rsidRPr="00000000">
        <w:rPr>
          <w:rFonts w:ascii="Times New Roman" w:cs="Times New Roman" w:eastAsia="Times New Roman" w:hAnsi="Times New Roman"/>
          <w:rtl w:val="0"/>
        </w:rPr>
        <w:t xml:space="preserve"> y el </w:t>
      </w:r>
      <w:r w:rsidDel="00000000" w:rsidR="00000000" w:rsidRPr="00000000">
        <w:rPr>
          <w:rFonts w:ascii="Times New Roman" w:cs="Times New Roman" w:eastAsia="Times New Roman" w:hAnsi="Times New Roman"/>
          <w:b w:val="1"/>
          <w:bCs w:val="1"/>
          <w:rtl w:val="0"/>
        </w:rPr>
        <w:t xml:space="preserve">Coeficiente de Silueta</w:t>
      </w:r>
      <w:r w:rsidDel="00000000" w:rsidR="00000000" w:rsidRPr="00000000">
        <w:rPr>
          <w:rFonts w:ascii="Times New Roman" w:cs="Times New Roman" w:eastAsia="Times New Roman" w:hAnsi="Times New Roman"/>
          <w:rtl w:val="0"/>
        </w:rPr>
        <w:t xml:space="preserve">. Este enfoque híbrido permite abordar tres objetivos complementarios:</w:t>
      </w:r>
    </w:p>
    <w:p w:rsidR="00000000" w:rsidDel="00000000" w:rsidP="00000000" w:rsidRDefault="00000000" w:rsidRPr="00000000" w14:paraId="00000013">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mapear</w:t>
      </w:r>
      <w:r w:rsidDel="00000000" w:rsidR="00000000" w:rsidRPr="00000000">
        <w:rPr>
          <w:rFonts w:ascii="Times New Roman" w:cs="Times New Roman" w:eastAsia="Times New Roman" w:hAnsi="Times New Roman"/>
          <w:rtl w:val="0"/>
        </w:rPr>
        <w:t xml:space="preserve"> los clústeres temáticos predominantes;</w:t>
        <w:br w:type="textWrapping"/>
      </w:r>
    </w:p>
    <w:p w:rsidR="00000000" w:rsidDel="00000000" w:rsidP="00000000" w:rsidRDefault="00000000" w:rsidRPr="00000000" w14:paraId="00000014">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describir</w:t>
      </w:r>
      <w:r w:rsidDel="00000000" w:rsidR="00000000" w:rsidRPr="00000000">
        <w:rPr>
          <w:rFonts w:ascii="Times New Roman" w:cs="Times New Roman" w:eastAsia="Times New Roman" w:hAnsi="Times New Roman"/>
          <w:rtl w:val="0"/>
        </w:rPr>
        <w:t xml:space="preserve"> las tendencias temporales de dichos clústeres en el periodo de interés; y</w:t>
        <w:br w:type="textWrapping"/>
      </w:r>
    </w:p>
    <w:p w:rsidR="00000000" w:rsidDel="00000000" w:rsidP="00000000" w:rsidRDefault="00000000" w:rsidRPr="00000000" w14:paraId="00000015">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identificar</w:t>
      </w:r>
      <w:r w:rsidDel="00000000" w:rsidR="00000000" w:rsidRPr="00000000">
        <w:rPr>
          <w:rFonts w:ascii="Times New Roman" w:cs="Times New Roman" w:eastAsia="Times New Roman" w:hAnsi="Times New Roman"/>
          <w:rtl w:val="0"/>
        </w:rPr>
        <w:t xml:space="preserve"> la emergencia de subcampos vinculados a la </w:t>
      </w:r>
      <w:r w:rsidDel="00000000" w:rsidR="00000000" w:rsidRPr="00000000">
        <w:rPr>
          <w:rFonts w:ascii="Times New Roman" w:cs="Times New Roman" w:eastAsia="Times New Roman" w:hAnsi="Times New Roman"/>
          <w:b w:val="1"/>
          <w:bCs w:val="1"/>
          <w:rtl w:val="0"/>
        </w:rPr>
        <w:t xml:space="preserve">implementación responsable de la IA</w:t>
      </w:r>
      <w:r w:rsidDel="00000000" w:rsidR="00000000" w:rsidRPr="00000000">
        <w:rPr>
          <w:rFonts w:ascii="Times New Roman" w:cs="Times New Roman" w:eastAsia="Times New Roman" w:hAnsi="Times New Roman"/>
          <w:rtl w:val="0"/>
        </w:rPr>
        <w:t xml:space="preserve">, incluyendo privacidad, ética y sistemas de tipo </w:t>
      </w:r>
      <w:r w:rsidDel="00000000" w:rsidR="00000000" w:rsidRPr="00000000">
        <w:rPr>
          <w:rFonts w:ascii="Times New Roman" w:cs="Times New Roman" w:eastAsia="Times New Roman" w:hAnsi="Times New Roman"/>
          <w:b w:val="1"/>
          <w:bCs w:val="1"/>
          <w:rtl w:val="0"/>
        </w:rPr>
        <w:t xml:space="preserve">Retrieval-Augmented Generation (RAG)</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pregunta central se formula bajo el esquema </w:t>
      </w:r>
      <w:r w:rsidDel="00000000" w:rsidR="00000000" w:rsidRPr="00000000">
        <w:rPr>
          <w:rFonts w:ascii="Times New Roman" w:cs="Times New Roman" w:eastAsia="Times New Roman" w:hAnsi="Times New Roman"/>
          <w:b w:val="1"/>
          <w:bCs w:val="1"/>
          <w:rtl w:val="0"/>
        </w:rPr>
        <w:t xml:space="preserve">PCC (Población, Concepto, Contexto)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numPr>
          <w:ilvl w:val="0"/>
          <w:numId w:val="2"/>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Población:</w:t>
      </w:r>
      <w:r w:rsidDel="00000000" w:rsidR="00000000" w:rsidRPr="00000000">
        <w:rPr>
          <w:rFonts w:ascii="Times New Roman" w:cs="Times New Roman" w:eastAsia="Times New Roman" w:hAnsi="Times New Roman"/>
          <w:rtl w:val="0"/>
        </w:rPr>
        <w:t xml:space="preserve"> estudios de investigación clínica, incluyendo ensayos clínicos, estudios observacionales y estudios de modelado relacionados con pacientes, intervenciones, resultados clínicos o procesos sanitarios.</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Concepto:</w:t>
      </w:r>
      <w:r w:rsidDel="00000000" w:rsidR="00000000" w:rsidRPr="00000000">
        <w:rPr>
          <w:rFonts w:ascii="Times New Roman" w:cs="Times New Roman" w:eastAsia="Times New Roman" w:hAnsi="Times New Roman"/>
          <w:rtl w:val="0"/>
        </w:rPr>
        <w:t xml:space="preserve"> aplicaciones de </w:t>
      </w:r>
      <w:r w:rsidDel="00000000" w:rsidR="00000000" w:rsidRPr="00000000">
        <w:rPr>
          <w:rFonts w:ascii="Times New Roman" w:cs="Times New Roman" w:eastAsia="Times New Roman" w:hAnsi="Times New Roman"/>
          <w:b w:val="1"/>
          <w:bCs w:val="1"/>
          <w:rtl w:val="0"/>
        </w:rPr>
        <w:t xml:space="preserve">inteligencia artificial, machine learning, IA generativa y grandes modelos de lenguaje (LLMs)</w:t>
      </w:r>
      <w:r w:rsidDel="00000000" w:rsidR="00000000" w:rsidRPr="00000000">
        <w:rPr>
          <w:rFonts w:ascii="Times New Roman" w:cs="Times New Roman" w:eastAsia="Times New Roman" w:hAnsi="Times New Roman"/>
          <w:rtl w:val="0"/>
        </w:rPr>
        <w:t xml:space="preserve"> en la investigación clínica.</w:t>
        <w:br w:type="textWrapping"/>
      </w:r>
    </w:p>
    <w:p w:rsidR="00000000" w:rsidDel="00000000" w:rsidP="00000000" w:rsidRDefault="00000000" w:rsidRPr="00000000" w14:paraId="00000019">
      <w:pPr>
        <w:numPr>
          <w:ilvl w:val="0"/>
          <w:numId w:val="2"/>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Contexto:</w:t>
      </w:r>
      <w:r w:rsidDel="00000000" w:rsidR="00000000" w:rsidRPr="00000000">
        <w:rPr>
          <w:rFonts w:ascii="Times New Roman" w:cs="Times New Roman" w:eastAsia="Times New Roman" w:hAnsi="Times New Roman"/>
          <w:rtl w:val="0"/>
        </w:rPr>
        <w:t xml:space="preserve"> la producción científica global publicada entre </w:t>
      </w:r>
      <w:r w:rsidDel="00000000" w:rsidR="00000000" w:rsidRPr="00000000">
        <w:rPr>
          <w:rFonts w:ascii="Times New Roman" w:cs="Times New Roman" w:eastAsia="Times New Roman" w:hAnsi="Times New Roman"/>
          <w:b w:val="1"/>
          <w:bCs w:val="1"/>
          <w:rtl w:val="0"/>
        </w:rPr>
        <w:t xml:space="preserve">2023 y 2025</w:t>
      </w:r>
      <w:r w:rsidDel="00000000" w:rsidR="00000000" w:rsidRPr="00000000">
        <w:rPr>
          <w:rFonts w:ascii="Times New Roman" w:cs="Times New Roman" w:eastAsia="Times New Roman" w:hAnsi="Times New Roman"/>
          <w:rtl w:val="0"/>
        </w:rPr>
        <w:t xml:space="preserve"> en las principales bases de datos biomédicas.</w:t>
        <w:br w:type="textWrapping"/>
      </w:r>
    </w:p>
    <w:p w:rsidR="00000000" w:rsidDel="00000000" w:rsidP="00000000" w:rsidRDefault="00000000" w:rsidRPr="00000000" w14:paraId="000000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esta formulación, la presente scoping review se orienta a ofrecer una </w:t>
      </w:r>
      <w:r w:rsidDel="00000000" w:rsidR="00000000" w:rsidRPr="00000000">
        <w:rPr>
          <w:rFonts w:ascii="Times New Roman" w:cs="Times New Roman" w:eastAsia="Times New Roman" w:hAnsi="Times New Roman"/>
          <w:b w:val="1"/>
          <w:bCs w:val="1"/>
          <w:rtl w:val="0"/>
        </w:rPr>
        <w:t xml:space="preserve">cartografía bibliométrica y temática</w:t>
      </w:r>
      <w:r w:rsidDel="00000000" w:rsidR="00000000" w:rsidRPr="00000000">
        <w:rPr>
          <w:rFonts w:ascii="Times New Roman" w:cs="Times New Roman" w:eastAsia="Times New Roman" w:hAnsi="Times New Roman"/>
          <w:rtl w:val="0"/>
        </w:rPr>
        <w:t xml:space="preserve"> del campo, con especial atención al desplazamiento del énfasis desde la mera precisión técnica hacia dimensiones de </w:t>
      </w:r>
      <w:r w:rsidDel="00000000" w:rsidR="00000000" w:rsidRPr="00000000">
        <w:rPr>
          <w:rFonts w:ascii="Times New Roman" w:cs="Times New Roman" w:eastAsia="Times New Roman" w:hAnsi="Times New Roman"/>
          <w:b w:val="1"/>
          <w:bCs w:val="1"/>
          <w:rtl w:val="0"/>
        </w:rPr>
        <w:t xml:space="preserve">privacidad, ética, gobernanza y soluciones RAG</w:t>
      </w:r>
      <w:r w:rsidDel="00000000" w:rsidR="00000000" w:rsidRPr="00000000">
        <w:rPr>
          <w:rFonts w:ascii="Times New Roman" w:cs="Times New Roman" w:eastAsia="Times New Roman" w:hAnsi="Times New Roman"/>
          <w:rtl w:val="0"/>
        </w:rPr>
        <w:t xml:space="preserve"> que permitan afrontar los riesgos inherentes a la IA en medicina.</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8gip7hqkwkqf" w:id="2"/>
      <w:bookmarkEnd w:id="2"/>
      <w:r w:rsidDel="00000000" w:rsidR="00000000" w:rsidRPr="00000000">
        <w:rPr>
          <w:rFonts w:ascii="Times New Roman" w:cs="Times New Roman" w:eastAsia="Times New Roman" w:hAnsi="Times New Roman"/>
          <w:b w:val="1"/>
          <w:bCs w:val="1"/>
          <w:color w:val="000000"/>
          <w:sz w:val="26"/>
          <w:szCs w:val="26"/>
          <w:rtl w:val="0"/>
        </w:rPr>
        <w:t xml:space="preserve">2.4. Metodología (Materiales y Métodos)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21844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Diseño del estudio</w:t>
        <w:br w:type="textWrapping"/>
      </w:r>
      <w:r w:rsidDel="00000000" w:rsidR="00000000" w:rsidRPr="00000000">
        <w:rPr>
          <w:rFonts w:ascii="Times New Roman" w:cs="Times New Roman" w:eastAsia="Times New Roman" w:hAnsi="Times New Roman"/>
          <w:rtl w:val="0"/>
        </w:rPr>
        <w:t xml:space="preserve"> Este estudio se diseñó como una </w:t>
      </w:r>
      <w:r w:rsidDel="00000000" w:rsidR="00000000" w:rsidRPr="00000000">
        <w:rPr>
          <w:rFonts w:ascii="Times New Roman" w:cs="Times New Roman" w:eastAsia="Times New Roman" w:hAnsi="Times New Roman"/>
          <w:b w:val="1"/>
          <w:bCs w:val="1"/>
          <w:rtl w:val="0"/>
        </w:rPr>
        <w:t xml:space="preserve">Scoping Review asistida por minería de texto y clustering no supervisado</w:t>
      </w:r>
      <w:r w:rsidDel="00000000" w:rsidR="00000000" w:rsidRPr="00000000">
        <w:rPr>
          <w:rFonts w:ascii="Times New Roman" w:cs="Times New Roman" w:eastAsia="Times New Roman" w:hAnsi="Times New Roman"/>
          <w:rtl w:val="0"/>
        </w:rPr>
        <w:t xml:space="preserve">. El protocolo metodológico se inspiró en las recomendaciones de </w:t>
      </w:r>
      <w:r w:rsidDel="00000000" w:rsidR="00000000" w:rsidRPr="00000000">
        <w:rPr>
          <w:rFonts w:ascii="Times New Roman" w:cs="Times New Roman" w:eastAsia="Times New Roman" w:hAnsi="Times New Roman"/>
          <w:b w:val="1"/>
          <w:bCs w:val="1"/>
          <w:rtl w:val="0"/>
        </w:rPr>
        <w:t xml:space="preserve">Arksey y O’Malley</w:t>
      </w:r>
      <w:r w:rsidDel="00000000" w:rsidR="00000000" w:rsidRPr="00000000">
        <w:rPr>
          <w:rFonts w:ascii="Times New Roman" w:cs="Times New Roman" w:eastAsia="Times New Roman" w:hAnsi="Times New Roman"/>
          <w:rtl w:val="0"/>
        </w:rPr>
        <w:t xml:space="preserve"> y en las guías del </w:t>
      </w:r>
      <w:r w:rsidDel="00000000" w:rsidR="00000000" w:rsidRPr="00000000">
        <w:rPr>
          <w:rFonts w:ascii="Times New Roman" w:cs="Times New Roman" w:eastAsia="Times New Roman" w:hAnsi="Times New Roman"/>
          <w:b w:val="1"/>
          <w:bCs w:val="1"/>
          <w:rtl w:val="0"/>
        </w:rPr>
        <w:t xml:space="preserve">Joanna Briggs Institute (JBI)</w:t>
      </w:r>
      <w:r w:rsidDel="00000000" w:rsidR="00000000" w:rsidRPr="00000000">
        <w:rPr>
          <w:rFonts w:ascii="Times New Roman" w:cs="Times New Roman" w:eastAsia="Times New Roman" w:hAnsi="Times New Roman"/>
          <w:rtl w:val="0"/>
        </w:rPr>
        <w:t xml:space="preserve"> para scoping reviews, así como en el diagrama de flujo PRISMA para describir de forma transparente el proceso de selección de estudios. El objetivo fue mapear la literatura reciente sobre IA en investigación clínica, más que evaluar la eficacia de intervenciones específicas.</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Fuentes de información y estrategia de búsqueda</w:t>
        <w:br w:type="textWrapping"/>
      </w:r>
      <w:r w:rsidDel="00000000" w:rsidR="00000000" w:rsidRPr="00000000">
        <w:rPr>
          <w:rFonts w:ascii="Times New Roman" w:cs="Times New Roman" w:eastAsia="Times New Roman" w:hAnsi="Times New Roman"/>
          <w:rtl w:val="0"/>
        </w:rPr>
        <w:t xml:space="preserve"> Se consultaron tres fuentes principales: </w:t>
      </w:r>
      <w:r w:rsidDel="00000000" w:rsidR="00000000" w:rsidRPr="00000000">
        <w:rPr>
          <w:rFonts w:ascii="Times New Roman" w:cs="Times New Roman" w:eastAsia="Times New Roman" w:hAnsi="Times New Roman"/>
          <w:b w:val="1"/>
          <w:bCs w:val="1"/>
          <w:rtl w:val="0"/>
        </w:rPr>
        <w:t xml:space="preserve">Scopus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PubMed</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bCs w:val="1"/>
          <w:rtl w:val="0"/>
        </w:rPr>
        <w:t xml:space="preserve">ClinicalTrials.gov</w:t>
      </w:r>
      <w:r w:rsidDel="00000000" w:rsidR="00000000" w:rsidRPr="00000000">
        <w:rPr>
          <w:rFonts w:ascii="Times New Roman" w:cs="Times New Roman" w:eastAsia="Times New Roman" w:hAnsi="Times New Roman"/>
          <w:rtl w:val="0"/>
        </w:rPr>
        <w:t xml:space="preserve">. Las búsquedas se realizaron para el periodo 2023–2025, utilizando combinaciones de términos relacionados con IA y con investigación clínica. De forma narrativa, las ecuaciones de búsqueda incluyeron términos en inglés como </w:t>
      </w:r>
      <w:r w:rsidDel="00000000" w:rsidR="00000000" w:rsidRPr="00000000">
        <w:rPr>
          <w:rFonts w:ascii="Times New Roman" w:cs="Times New Roman" w:eastAsia="Times New Roman" w:hAnsi="Times New Roman"/>
          <w:i w:val="1"/>
          <w:iCs w:val="1"/>
          <w:rtl w:val="0"/>
        </w:rPr>
        <w:t xml:space="preserve">“artificial intelligence”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“deep 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“neural network”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“generative model”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“large language model”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“ChatGPT”</w:t>
      </w:r>
      <w:r w:rsidDel="00000000" w:rsidR="00000000" w:rsidRPr="00000000">
        <w:rPr>
          <w:rFonts w:ascii="Times New Roman" w:cs="Times New Roman" w:eastAsia="Times New Roman" w:hAnsi="Times New Roman"/>
          <w:rtl w:val="0"/>
        </w:rPr>
        <w:t xml:space="preserve">, combinados con descriptores como </w:t>
      </w:r>
      <w:r w:rsidDel="00000000" w:rsidR="00000000" w:rsidRPr="00000000">
        <w:rPr>
          <w:rFonts w:ascii="Times New Roman" w:cs="Times New Roman" w:eastAsia="Times New Roman" w:hAnsi="Times New Roman"/>
          <w:i w:val="1"/>
          <w:iCs w:val="1"/>
          <w:rtl w:val="0"/>
        </w:rPr>
        <w:t xml:space="preserve">“clinical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“clinical trial”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“randomized”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“cohort”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“electronic health record”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“EHR”</w:t>
      </w:r>
      <w:r w:rsidDel="00000000" w:rsidR="00000000" w:rsidRPr="00000000">
        <w:rPr>
          <w:rFonts w:ascii="Times New Roman" w:cs="Times New Roman" w:eastAsia="Times New Roman" w:hAnsi="Times New Roman"/>
          <w:rtl w:val="0"/>
        </w:rPr>
        <w:t xml:space="preserve">, entre otros. Se aplicaron filtros por tipo de documento (artículos, estudios clínicos, protocolos) y por ámbito biomédico, según la disponibilidad en cada base.</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Proceso PRISMA: identificación, cribado, elegibilidad e inclusión</w:t>
        <w:br w:type="textWrapping"/>
      </w:r>
      <w:r w:rsidDel="00000000" w:rsidR="00000000" w:rsidRPr="00000000">
        <w:rPr>
          <w:rFonts w:ascii="Times New Roman" w:cs="Times New Roman" w:eastAsia="Times New Roman" w:hAnsi="Times New Roman"/>
          <w:rtl w:val="0"/>
        </w:rPr>
        <w:t xml:space="preserve"> El flujo de selección se describió de acuerdo con las fases habituales de </w:t>
      </w:r>
      <w:r w:rsidDel="00000000" w:rsidR="00000000" w:rsidRPr="00000000">
        <w:rPr>
          <w:rFonts w:ascii="Times New Roman" w:cs="Times New Roman" w:eastAsia="Times New Roman" w:hAnsi="Times New Roman"/>
          <w:b w:val="1"/>
          <w:bCs w:val="1"/>
          <w:rtl w:val="0"/>
        </w:rPr>
        <w:t xml:space="preserve">PRISMA</w:t>
      </w:r>
      <w:r w:rsidDel="00000000" w:rsidR="00000000" w:rsidRPr="00000000">
        <w:rPr>
          <w:rFonts w:ascii="Times New Roman" w:cs="Times New Roman" w:eastAsia="Times New Roman" w:hAnsi="Times New Roman"/>
          <w:rtl w:val="0"/>
        </w:rPr>
        <w:t xml:space="preserve">. En la fase de </w:t>
      </w:r>
      <w:r w:rsidDel="00000000" w:rsidR="00000000" w:rsidRPr="00000000">
        <w:rPr>
          <w:rFonts w:ascii="Times New Roman" w:cs="Times New Roman" w:eastAsia="Times New Roman" w:hAnsi="Times New Roman"/>
          <w:b w:val="1"/>
          <w:bCs w:val="1"/>
          <w:rtl w:val="0"/>
        </w:rPr>
        <w:t xml:space="preserve">identificación</w:t>
      </w:r>
      <w:r w:rsidDel="00000000" w:rsidR="00000000" w:rsidRPr="00000000">
        <w:rPr>
          <w:rFonts w:ascii="Times New Roman" w:cs="Times New Roman" w:eastAsia="Times New Roman" w:hAnsi="Times New Roman"/>
          <w:rtl w:val="0"/>
        </w:rPr>
        <w:t xml:space="preserve">, se recuperó un conjunto inicial amplio de registros a partir de las bases mencionadas. En la fase de </w:t>
      </w:r>
      <w:r w:rsidDel="00000000" w:rsidR="00000000" w:rsidRPr="00000000">
        <w:rPr>
          <w:rFonts w:ascii="Times New Roman" w:cs="Times New Roman" w:eastAsia="Times New Roman" w:hAnsi="Times New Roman"/>
          <w:b w:val="1"/>
          <w:bCs w:val="1"/>
          <w:rtl w:val="0"/>
        </w:rPr>
        <w:t xml:space="preserve">cribado</w:t>
      </w:r>
      <w:r w:rsidDel="00000000" w:rsidR="00000000" w:rsidRPr="00000000">
        <w:rPr>
          <w:rFonts w:ascii="Times New Roman" w:cs="Times New Roman" w:eastAsia="Times New Roman" w:hAnsi="Times New Roman"/>
          <w:rtl w:val="0"/>
        </w:rPr>
        <w:t xml:space="preserve">, se eliminaron duplicados y se excluyeron documentos claramente no pertinentes según el título, el resumen o el tipo de publicación (por ejemplo, editoriales, cartas sin datos originales, contenidos no clínicos). Posteriormente, en la fase de </w:t>
      </w:r>
      <w:r w:rsidDel="00000000" w:rsidR="00000000" w:rsidRPr="00000000">
        <w:rPr>
          <w:rFonts w:ascii="Times New Roman" w:cs="Times New Roman" w:eastAsia="Times New Roman" w:hAnsi="Times New Roman"/>
          <w:b w:val="1"/>
          <w:bCs w:val="1"/>
          <w:rtl w:val="0"/>
        </w:rPr>
        <w:t xml:space="preserve">elegibilidad</w:t>
      </w:r>
      <w:r w:rsidDel="00000000" w:rsidR="00000000" w:rsidRPr="00000000">
        <w:rPr>
          <w:rFonts w:ascii="Times New Roman" w:cs="Times New Roman" w:eastAsia="Times New Roman" w:hAnsi="Times New Roman"/>
          <w:rtl w:val="0"/>
        </w:rPr>
        <w:t xml:space="preserve">, se revisaron los resúmenes de los estudios restantes para confirmar su foco en aplicaciones de IA a la investigación clínica. Finalmente, en la fase de </w:t>
      </w:r>
      <w:r w:rsidDel="00000000" w:rsidR="00000000" w:rsidRPr="00000000">
        <w:rPr>
          <w:rFonts w:ascii="Times New Roman" w:cs="Times New Roman" w:eastAsia="Times New Roman" w:hAnsi="Times New Roman"/>
          <w:b w:val="1"/>
          <w:bCs w:val="1"/>
          <w:rtl w:val="0"/>
        </w:rPr>
        <w:t xml:space="preserve">inclusión</w:t>
      </w:r>
      <w:r w:rsidDel="00000000" w:rsidR="00000000" w:rsidRPr="00000000">
        <w:rPr>
          <w:rFonts w:ascii="Times New Roman" w:cs="Times New Roman" w:eastAsia="Times New Roman" w:hAnsi="Times New Roman"/>
          <w:rtl w:val="0"/>
        </w:rPr>
        <w:t xml:space="preserve">, se conformó un corpus final de </w:t>
      </w:r>
      <w:r w:rsidDel="00000000" w:rsidR="00000000" w:rsidRPr="00000000">
        <w:rPr>
          <w:rFonts w:ascii="Times New Roman" w:cs="Times New Roman" w:eastAsia="Times New Roman" w:hAnsi="Times New Roman"/>
          <w:b w:val="1"/>
          <w:bCs w:val="1"/>
          <w:rtl w:val="0"/>
        </w:rPr>
        <w:t xml:space="preserve">8,522 documentos</w:t>
      </w:r>
      <w:r w:rsidDel="00000000" w:rsidR="00000000" w:rsidRPr="00000000">
        <w:rPr>
          <w:rFonts w:ascii="Times New Roman" w:cs="Times New Roman" w:eastAsia="Times New Roman" w:hAnsi="Times New Roman"/>
          <w:rtl w:val="0"/>
        </w:rPr>
        <w:t xml:space="preserve">, que se utilizó para el análisis computacional subsiguiente. No se reportaron aquí las cifras intermedias de exclusión, dado que el interés principal se centró en la caracterización temática global del conjunto final.</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Preprocesamiento del texto</w:t>
        <w:br w:type="textWrapping"/>
      </w:r>
      <w:r w:rsidDel="00000000" w:rsidR="00000000" w:rsidRPr="00000000">
        <w:rPr>
          <w:rFonts w:ascii="Times New Roman" w:cs="Times New Roman" w:eastAsia="Times New Roman" w:hAnsi="Times New Roman"/>
          <w:rtl w:val="0"/>
        </w:rPr>
        <w:t xml:space="preserve"> Los textos analizados correspondieron principalmente a </w:t>
      </w:r>
      <w:r w:rsidDel="00000000" w:rsidR="00000000" w:rsidRPr="00000000">
        <w:rPr>
          <w:rFonts w:ascii="Times New Roman" w:cs="Times New Roman" w:eastAsia="Times New Roman" w:hAnsi="Times New Roman"/>
          <w:b w:val="1"/>
          <w:bCs w:val="1"/>
          <w:rtl w:val="0"/>
        </w:rPr>
        <w:t xml:space="preserve">títulos y resúmenes</w:t>
      </w:r>
      <w:r w:rsidDel="00000000" w:rsidR="00000000" w:rsidRPr="00000000">
        <w:rPr>
          <w:rFonts w:ascii="Times New Roman" w:cs="Times New Roman" w:eastAsia="Times New Roman" w:hAnsi="Times New Roman"/>
          <w:rtl w:val="0"/>
        </w:rPr>
        <w:t xml:space="preserve"> de los documentos incluidos. El preprocesamiento se llevó a cabo utilizando librerías de Python como </w:t>
      </w:r>
      <w:r w:rsidDel="00000000" w:rsidR="00000000" w:rsidRPr="00000000">
        <w:rPr>
          <w:rFonts w:ascii="Times New Roman" w:cs="Times New Roman" w:eastAsia="Times New Roman" w:hAnsi="Times New Roman"/>
          <w:color w:val="188038"/>
          <w:rtl w:val="0"/>
        </w:rPr>
        <w:t xml:space="preserve">pandas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nltk</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color w:val="188038"/>
          <w:rtl w:val="0"/>
        </w:rPr>
        <w:t xml:space="preserve">spaCy</w:t>
      </w:r>
      <w:r w:rsidDel="00000000" w:rsidR="00000000" w:rsidRPr="00000000">
        <w:rPr>
          <w:rFonts w:ascii="Times New Roman" w:cs="Times New Roman" w:eastAsia="Times New Roman" w:hAnsi="Times New Roman"/>
          <w:rtl w:val="0"/>
        </w:rPr>
        <w:t xml:space="preserve">. En primer lugar, se transformaron todos los caracteres a </w:t>
      </w:r>
      <w:r w:rsidDel="00000000" w:rsidR="00000000" w:rsidRPr="00000000">
        <w:rPr>
          <w:rFonts w:ascii="Times New Roman" w:cs="Times New Roman" w:eastAsia="Times New Roman" w:hAnsi="Times New Roman"/>
          <w:b w:val="1"/>
          <w:bCs w:val="1"/>
          <w:rtl w:val="0"/>
        </w:rPr>
        <w:t xml:space="preserve">minúsculas</w:t>
      </w:r>
      <w:r w:rsidDel="00000000" w:rsidR="00000000" w:rsidRPr="00000000">
        <w:rPr>
          <w:rFonts w:ascii="Times New Roman" w:cs="Times New Roman" w:eastAsia="Times New Roman" w:hAnsi="Times New Roman"/>
          <w:rtl w:val="0"/>
        </w:rPr>
        <w:t xml:space="preserve"> y se eliminaron signos de puntuación, números y caracteres especiales sin valor semántico. Se definió un conjunto de </w:t>
      </w:r>
      <w:r w:rsidDel="00000000" w:rsidR="00000000" w:rsidRPr="00000000">
        <w:rPr>
          <w:rFonts w:ascii="Times New Roman" w:cs="Times New Roman" w:eastAsia="Times New Roman" w:hAnsi="Times New Roman"/>
          <w:b w:val="1"/>
          <w:bCs w:val="1"/>
          <w:rtl w:val="0"/>
        </w:rPr>
        <w:t xml:space="preserve">stopwords</w:t>
      </w:r>
      <w:r w:rsidDel="00000000" w:rsidR="00000000" w:rsidRPr="00000000">
        <w:rPr>
          <w:rFonts w:ascii="Times New Roman" w:cs="Times New Roman" w:eastAsia="Times New Roman" w:hAnsi="Times New Roman"/>
          <w:rtl w:val="0"/>
        </w:rPr>
        <w:t xml:space="preserve"> que incluyó tanto palabras funcionales comunes del inglés como términos académicos de alta frecuencia pero baja capacidad discriminativa, tales como </w:t>
      </w:r>
      <w:r w:rsidDel="00000000" w:rsidR="00000000" w:rsidRPr="00000000">
        <w:rPr>
          <w:rFonts w:ascii="Times New Roman" w:cs="Times New Roman" w:eastAsia="Times New Roman" w:hAnsi="Times New Roman"/>
          <w:i w:val="1"/>
          <w:iCs w:val="1"/>
          <w:rtl w:val="0"/>
        </w:rPr>
        <w:t xml:space="preserve">“abstract”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“background”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“introduction”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“method”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“results”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“conclusion”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Posteriormente, se realizaron procesos de </w:t>
      </w:r>
      <w:r w:rsidDel="00000000" w:rsidR="00000000" w:rsidRPr="00000000">
        <w:rPr>
          <w:rFonts w:ascii="Times New Roman" w:cs="Times New Roman" w:eastAsia="Times New Roman" w:hAnsi="Times New Roman"/>
          <w:b w:val="1"/>
          <w:bCs w:val="1"/>
          <w:rtl w:val="0"/>
        </w:rPr>
        <w:t xml:space="preserve">tokenización</w:t>
      </w:r>
      <w:r w:rsidDel="00000000" w:rsidR="00000000" w:rsidRPr="00000000">
        <w:rPr>
          <w:rFonts w:ascii="Times New Roman" w:cs="Times New Roman" w:eastAsia="Times New Roman" w:hAnsi="Times New Roman"/>
          <w:rtl w:val="0"/>
        </w:rPr>
        <w:t xml:space="preserve"> y se aplicó </w:t>
      </w:r>
      <w:r w:rsidDel="00000000" w:rsidR="00000000" w:rsidRPr="00000000">
        <w:rPr>
          <w:rFonts w:ascii="Times New Roman" w:cs="Times New Roman" w:eastAsia="Times New Roman" w:hAnsi="Times New Roman"/>
          <w:b w:val="1"/>
          <w:bCs w:val="1"/>
          <w:rtl w:val="0"/>
        </w:rPr>
        <w:t xml:space="preserve">stemming</w:t>
      </w:r>
      <w:r w:rsidDel="00000000" w:rsidR="00000000" w:rsidRPr="00000000">
        <w:rPr>
          <w:rFonts w:ascii="Times New Roman" w:cs="Times New Roman" w:eastAsia="Times New Roman" w:hAnsi="Times New Roman"/>
          <w:rtl w:val="0"/>
        </w:rPr>
        <w:t xml:space="preserve"> (por ejemplo, mediante </w:t>
      </w:r>
      <w:r w:rsidDel="00000000" w:rsidR="00000000" w:rsidRPr="00000000">
        <w:rPr>
          <w:rFonts w:ascii="Times New Roman" w:cs="Times New Roman" w:eastAsia="Times New Roman" w:hAnsi="Times New Roman"/>
          <w:color w:val="188038"/>
          <w:rtl w:val="0"/>
        </w:rPr>
        <w:t xml:space="preserve">SnowballStemmer</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lematización</w:t>
      </w:r>
      <w:r w:rsidDel="00000000" w:rsidR="00000000" w:rsidRPr="00000000">
        <w:rPr>
          <w:rFonts w:ascii="Times New Roman" w:cs="Times New Roman" w:eastAsia="Times New Roman" w:hAnsi="Times New Roman"/>
          <w:rtl w:val="0"/>
        </w:rPr>
        <w:t xml:space="preserve"> (por ejemplo, mediante </w:t>
      </w:r>
      <w:r w:rsidDel="00000000" w:rsidR="00000000" w:rsidRPr="00000000">
        <w:rPr>
          <w:rFonts w:ascii="Times New Roman" w:cs="Times New Roman" w:eastAsia="Times New Roman" w:hAnsi="Times New Roman"/>
          <w:color w:val="188038"/>
          <w:rtl w:val="0"/>
        </w:rPr>
        <w:t xml:space="preserve">spaCy</w:t>
      </w:r>
      <w:r w:rsidDel="00000000" w:rsidR="00000000" w:rsidRPr="00000000">
        <w:rPr>
          <w:rFonts w:ascii="Times New Roman" w:cs="Times New Roman" w:eastAsia="Times New Roman" w:hAnsi="Times New Roman"/>
          <w:rtl w:val="0"/>
        </w:rPr>
        <w:t xml:space="preserve">), con el objetivo de agrupar variantes flexivas de una misma raíz léxica. Se filtraron tokens por longitud mínima y se descartaron aquellos asociados a metadatos no semánticos. En esta fase también se trataron sinónimos y abreviaturas frecuentes, especialmente en dominios como imagenología, modelos de riesgo y registros electrónicos.</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Vectorización y clustering</w:t>
        <w:br w:type="textWrapping"/>
      </w:r>
      <w:r w:rsidDel="00000000" w:rsidR="00000000" w:rsidRPr="00000000">
        <w:rPr>
          <w:rFonts w:ascii="Times New Roman" w:cs="Times New Roman" w:eastAsia="Times New Roman" w:hAnsi="Times New Roman"/>
          <w:rtl w:val="0"/>
        </w:rPr>
        <w:t xml:space="preserve"> Tras el preprocesamiento, cada documento se representó como un vector de características utilizando la técnica de </w:t>
      </w:r>
      <w:r w:rsidDel="00000000" w:rsidR="00000000" w:rsidRPr="00000000">
        <w:rPr>
          <w:rFonts w:ascii="Times New Roman" w:cs="Times New Roman" w:eastAsia="Times New Roman" w:hAnsi="Times New Roman"/>
          <w:b w:val="1"/>
          <w:bCs w:val="1"/>
          <w:rtl w:val="0"/>
        </w:rPr>
        <w:t xml:space="preserve">Term Frequency–Inverse Document Frequency (TF–IDF)</w:t>
      </w:r>
      <w:r w:rsidDel="00000000" w:rsidR="00000000" w:rsidRPr="00000000">
        <w:rPr>
          <w:rFonts w:ascii="Times New Roman" w:cs="Times New Roman" w:eastAsia="Times New Roman" w:hAnsi="Times New Roman"/>
          <w:rtl w:val="0"/>
        </w:rPr>
        <w:t xml:space="preserve">, implementada con </w:t>
      </w:r>
      <w:r w:rsidDel="00000000" w:rsidR="00000000" w:rsidRPr="00000000">
        <w:rPr>
          <w:rFonts w:ascii="Times New Roman" w:cs="Times New Roman" w:eastAsia="Times New Roman" w:hAnsi="Times New Roman"/>
          <w:color w:val="188038"/>
          <w:rtl w:val="0"/>
        </w:rPr>
        <w:t xml:space="preserve">scikit-learn</w:t>
      </w:r>
      <w:r w:rsidDel="00000000" w:rsidR="00000000" w:rsidRPr="00000000">
        <w:rPr>
          <w:rFonts w:ascii="Times New Roman" w:cs="Times New Roman" w:eastAsia="Times New Roman" w:hAnsi="Times New Roman"/>
          <w:rtl w:val="0"/>
        </w:rPr>
        <w:t xml:space="preserve">. Esta representación permitió capturar la relevancia relativa de cada término en el contexto del corpus completo de 8,522 documentos.</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identificar </w:t>
      </w:r>
      <w:r w:rsidDel="00000000" w:rsidR="00000000" w:rsidRPr="00000000">
        <w:rPr>
          <w:rFonts w:ascii="Times New Roman" w:cs="Times New Roman" w:eastAsia="Times New Roman" w:hAnsi="Times New Roman"/>
          <w:b w:val="1"/>
          <w:bCs w:val="1"/>
          <w:rtl w:val="0"/>
        </w:rPr>
        <w:t xml:space="preserve">patrones temáticos latentes</w:t>
      </w:r>
      <w:r w:rsidDel="00000000" w:rsidR="00000000" w:rsidRPr="00000000">
        <w:rPr>
          <w:rFonts w:ascii="Times New Roman" w:cs="Times New Roman" w:eastAsia="Times New Roman" w:hAnsi="Times New Roman"/>
          <w:rtl w:val="0"/>
        </w:rPr>
        <w:t xml:space="preserve">, se aplicó el algoritmo de </w:t>
      </w:r>
      <w:r w:rsidDel="00000000" w:rsidR="00000000" w:rsidRPr="00000000">
        <w:rPr>
          <w:rFonts w:ascii="Times New Roman" w:cs="Times New Roman" w:eastAsia="Times New Roman" w:hAnsi="Times New Roman"/>
          <w:i w:val="1"/>
          <w:iCs w:val="1"/>
          <w:rtl w:val="0"/>
        </w:rPr>
        <w:t xml:space="preserve">clustering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MiniBatchKMeans</w:t>
      </w:r>
      <w:r w:rsidDel="00000000" w:rsidR="00000000" w:rsidRPr="00000000">
        <w:rPr>
          <w:rFonts w:ascii="Times New Roman" w:cs="Times New Roman" w:eastAsia="Times New Roman" w:hAnsi="Times New Roman"/>
          <w:rtl w:val="0"/>
        </w:rPr>
        <w:t xml:space="preserve"> con un número de clústeres predefinido de </w:t>
      </w:r>
      <w:r w:rsidDel="00000000" w:rsidR="00000000" w:rsidRPr="00000000">
        <w:rPr>
          <w:rFonts w:ascii="Times New Roman" w:cs="Times New Roman" w:eastAsia="Times New Roman" w:hAnsi="Times New Roman"/>
          <w:b w:val="1"/>
          <w:bCs w:val="1"/>
          <w:rtl w:val="0"/>
        </w:rPr>
        <w:t xml:space="preserve">k = 10</w:t>
      </w:r>
      <w:r w:rsidDel="00000000" w:rsidR="00000000" w:rsidRPr="00000000">
        <w:rPr>
          <w:rFonts w:ascii="Times New Roman" w:cs="Times New Roman" w:eastAsia="Times New Roman" w:hAnsi="Times New Roman"/>
          <w:rtl w:val="0"/>
        </w:rPr>
        <w:t xml:space="preserve">. Este algoritmo, una variante eficiente de K-Means, se seleccionó por su capacidad de manejar grandes volúmenes de datos y actualizar los centroides de forma incremental. La inicialización se realizó con esquemas estándar (por ejemplo, </w:t>
      </w:r>
      <w:r w:rsidDel="00000000" w:rsidR="00000000" w:rsidRPr="00000000">
        <w:rPr>
          <w:rFonts w:ascii="Times New Roman" w:cs="Times New Roman" w:eastAsia="Times New Roman" w:hAnsi="Times New Roman"/>
          <w:i w:val="1"/>
          <w:iCs w:val="1"/>
          <w:rtl w:val="0"/>
        </w:rPr>
        <w:t xml:space="preserve">k-means++</w:t>
      </w:r>
      <w:r w:rsidDel="00000000" w:rsidR="00000000" w:rsidRPr="00000000">
        <w:rPr>
          <w:rFonts w:ascii="Times New Roman" w:cs="Times New Roman" w:eastAsia="Times New Roman" w:hAnsi="Times New Roman"/>
          <w:rtl w:val="0"/>
        </w:rPr>
        <w:t xml:space="preserve">), y se ejecutaron múltiples iteraciones para favorecer la estabilidad de la solución.</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Validación y elección del número de clústeres</w:t>
        <w:br w:type="textWrapping"/>
      </w:r>
      <w:r w:rsidDel="00000000" w:rsidR="00000000" w:rsidRPr="00000000">
        <w:rPr>
          <w:rFonts w:ascii="Times New Roman" w:cs="Times New Roman" w:eastAsia="Times New Roman" w:hAnsi="Times New Roman"/>
          <w:rtl w:val="0"/>
        </w:rPr>
        <w:t xml:space="preserve"> La elección de </w:t>
      </w:r>
      <w:r w:rsidDel="00000000" w:rsidR="00000000" w:rsidRPr="00000000">
        <w:rPr>
          <w:rFonts w:ascii="Times New Roman" w:cs="Times New Roman" w:eastAsia="Times New Roman" w:hAnsi="Times New Roman"/>
          <w:b w:val="1"/>
          <w:bCs w:val="1"/>
          <w:rtl w:val="0"/>
        </w:rPr>
        <w:t xml:space="preserve">k = 10</w:t>
      </w:r>
      <w:r w:rsidDel="00000000" w:rsidR="00000000" w:rsidRPr="00000000">
        <w:rPr>
          <w:rFonts w:ascii="Times New Roman" w:cs="Times New Roman" w:eastAsia="Times New Roman" w:hAnsi="Times New Roman"/>
          <w:rtl w:val="0"/>
        </w:rPr>
        <w:t xml:space="preserve"> se basó en un proceso exploratorio que combinó el </w:t>
      </w:r>
      <w:r w:rsidDel="00000000" w:rsidR="00000000" w:rsidRPr="00000000">
        <w:rPr>
          <w:rFonts w:ascii="Times New Roman" w:cs="Times New Roman" w:eastAsia="Times New Roman" w:hAnsi="Times New Roman"/>
          <w:b w:val="1"/>
          <w:bCs w:val="1"/>
          <w:rtl w:val="0"/>
        </w:rPr>
        <w:t xml:space="preserve">Método del Codo (Elbow Method)</w:t>
      </w:r>
      <w:r w:rsidDel="00000000" w:rsidR="00000000" w:rsidRPr="00000000">
        <w:rPr>
          <w:rFonts w:ascii="Times New Roman" w:cs="Times New Roman" w:eastAsia="Times New Roman" w:hAnsi="Times New Roman"/>
          <w:rtl w:val="0"/>
        </w:rPr>
        <w:t xml:space="preserve"> y el análisis del </w:t>
      </w:r>
      <w:r w:rsidDel="00000000" w:rsidR="00000000" w:rsidRPr="00000000">
        <w:rPr>
          <w:rFonts w:ascii="Times New Roman" w:cs="Times New Roman" w:eastAsia="Times New Roman" w:hAnsi="Times New Roman"/>
          <w:b w:val="1"/>
          <w:bCs w:val="1"/>
          <w:rtl w:val="0"/>
        </w:rPr>
        <w:t xml:space="preserve">Coeficiente de Silueta</w:t>
      </w:r>
      <w:r w:rsidDel="00000000" w:rsidR="00000000" w:rsidRPr="00000000">
        <w:rPr>
          <w:rFonts w:ascii="Times New Roman" w:cs="Times New Roman" w:eastAsia="Times New Roman" w:hAnsi="Times New Roman"/>
          <w:rtl w:val="0"/>
        </w:rPr>
        <w:t xml:space="preserve">. Para ello, se estimaron modelos con diferentes valores de k y se examinaron las curvas de inercia intra-clúster, identificando puntos de inflexión que sugerían rendimientos decrecientes al aumentar el número de clústeres. Paralelamente, se calcularon valores promedio del </w:t>
      </w:r>
      <w:r w:rsidDel="00000000" w:rsidR="00000000" w:rsidRPr="00000000">
        <w:rPr>
          <w:rFonts w:ascii="Times New Roman" w:cs="Times New Roman" w:eastAsia="Times New Roman" w:hAnsi="Times New Roman"/>
          <w:b w:val="1"/>
          <w:bCs w:val="1"/>
          <w:rtl w:val="0"/>
        </w:rPr>
        <w:t xml:space="preserve">Silhouette Score</w:t>
      </w:r>
      <w:r w:rsidDel="00000000" w:rsidR="00000000" w:rsidRPr="00000000">
        <w:rPr>
          <w:rFonts w:ascii="Times New Roman" w:cs="Times New Roman" w:eastAsia="Times New Roman" w:hAnsi="Times New Roman"/>
          <w:rtl w:val="0"/>
        </w:rPr>
        <w:t xml:space="preserve">, con el fin de evaluar la cohesión interna de los clústeres y su separación respecto de los grupos vecinos. El valor de k = 10 se consideró un equilibrio razonable entre granularidad temática y interpretabilidad.</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fijado k, se procedió a </w:t>
      </w:r>
      <w:r w:rsidDel="00000000" w:rsidR="00000000" w:rsidRPr="00000000">
        <w:rPr>
          <w:rFonts w:ascii="Times New Roman" w:cs="Times New Roman" w:eastAsia="Times New Roman" w:hAnsi="Times New Roman"/>
          <w:b w:val="1"/>
          <w:bCs w:val="1"/>
          <w:rtl w:val="0"/>
        </w:rPr>
        <w:t xml:space="preserve">etiquetar los clústeres</w:t>
      </w:r>
      <w:r w:rsidDel="00000000" w:rsidR="00000000" w:rsidRPr="00000000">
        <w:rPr>
          <w:rFonts w:ascii="Times New Roman" w:cs="Times New Roman" w:eastAsia="Times New Roman" w:hAnsi="Times New Roman"/>
          <w:rtl w:val="0"/>
        </w:rPr>
        <w:t xml:space="preserve"> revisando las palabras con mayor peso TF–IDF en cada grupo y examinando manualmente una muestra de documentos representativos. Este procedimiento permitió asignar etiquetas interpretables tales como “Integración y gestión de IA en salud”, “Modelos predictivos de riesgo”, “Imagenología médica basada en deep learning”, “Privacidad, seguridad y modelos federados/generativos” y “NLP, LLMs y EHR”, entre otras.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temporal y temático</w:t>
        <w:br w:type="textWrapping"/>
      </w:r>
      <w:r w:rsidDel="00000000" w:rsidR="00000000" w:rsidRPr="00000000">
        <w:rPr>
          <w:rFonts w:ascii="Times New Roman" w:cs="Times New Roman" w:eastAsia="Times New Roman" w:hAnsi="Times New Roman"/>
          <w:rtl w:val="0"/>
        </w:rPr>
        <w:t xml:space="preserve"> Adicionalmente, se llevó a cabo un análisis </w:t>
      </w:r>
      <w:r w:rsidDel="00000000" w:rsidR="00000000" w:rsidRPr="00000000">
        <w:rPr>
          <w:rFonts w:ascii="Times New Roman" w:cs="Times New Roman" w:eastAsia="Times New Roman" w:hAnsi="Times New Roman"/>
          <w:b w:val="1"/>
          <w:bCs w:val="1"/>
          <w:rtl w:val="0"/>
        </w:rPr>
        <w:t xml:space="preserve">temporal</w:t>
      </w:r>
      <w:r w:rsidDel="00000000" w:rsidR="00000000" w:rsidRPr="00000000">
        <w:rPr>
          <w:rFonts w:ascii="Times New Roman" w:cs="Times New Roman" w:eastAsia="Times New Roman" w:hAnsi="Times New Roman"/>
          <w:rtl w:val="0"/>
        </w:rPr>
        <w:t xml:space="preserve"> de los clústeres, vinculando cada documento con su año de publicación dentro del periodo 2023–2025. Se calculó la proporción relativa de documentos por clúster y año, lo que permitió identificar clústeres con </w:t>
      </w:r>
      <w:r w:rsidDel="00000000" w:rsidR="00000000" w:rsidRPr="00000000">
        <w:rPr>
          <w:rFonts w:ascii="Times New Roman" w:cs="Times New Roman" w:eastAsia="Times New Roman" w:hAnsi="Times New Roman"/>
          <w:b w:val="1"/>
          <w:bCs w:val="1"/>
          <w:rtl w:val="0"/>
        </w:rPr>
        <w:t xml:space="preserve">tendencia creciente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estable</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decreciente</w:t>
      </w:r>
      <w:r w:rsidDel="00000000" w:rsidR="00000000" w:rsidRPr="00000000">
        <w:rPr>
          <w:rFonts w:ascii="Times New Roman" w:cs="Times New Roman" w:eastAsia="Times New Roman" w:hAnsi="Times New Roman"/>
          <w:rtl w:val="0"/>
        </w:rPr>
        <w:t xml:space="preserve"> en términos proporcionales. Este análisis se acompañó de visualizaciones exploratorias mediante </w:t>
      </w:r>
      <w:r w:rsidDel="00000000" w:rsidR="00000000" w:rsidRPr="00000000">
        <w:rPr>
          <w:rFonts w:ascii="Times New Roman" w:cs="Times New Roman" w:eastAsia="Times New Roman" w:hAnsi="Times New Roman"/>
          <w:color w:val="188038"/>
          <w:rtl w:val="0"/>
        </w:rPr>
        <w:t xml:space="preserve">matplotlib</w:t>
      </w:r>
      <w:r w:rsidDel="00000000" w:rsidR="00000000" w:rsidRPr="00000000">
        <w:rPr>
          <w:rFonts w:ascii="Times New Roman" w:cs="Times New Roman" w:eastAsia="Times New Roman" w:hAnsi="Times New Roman"/>
          <w:rtl w:val="0"/>
        </w:rPr>
        <w:t xml:space="preserve">, con el objetivo de facilitar la interpretación de las dinámicas temporales, en particular en áreas emergentes como la privacidad, la ética de la IA y las aplicaciones basadas en LLMs sobre registros electrónicos de salud.</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6biaw9x1i5i0" w:id="3"/>
      <w:bookmarkEnd w:id="3"/>
      <w:r w:rsidDel="00000000" w:rsidR="00000000" w:rsidRPr="00000000">
        <w:rPr>
          <w:rFonts w:ascii="Times New Roman" w:cs="Times New Roman" w:eastAsia="Times New Roman" w:hAnsi="Times New Roman"/>
          <w:b w:val="1"/>
          <w:bCs w:val="1"/>
          <w:color w:val="000000"/>
          <w:sz w:val="26"/>
          <w:szCs w:val="26"/>
          <w:rtl w:val="0"/>
        </w:rPr>
        <w:t xml:space="preserve">2.5. Resultados</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general del corpus</w:t>
        <w:br w:type="textWrapping"/>
      </w:r>
      <w:r w:rsidDel="00000000" w:rsidR="00000000" w:rsidRPr="00000000">
        <w:rPr>
          <w:rFonts w:ascii="Times New Roman" w:cs="Times New Roman" w:eastAsia="Times New Roman" w:hAnsi="Times New Roman"/>
          <w:rtl w:val="0"/>
        </w:rPr>
        <w:t xml:space="preserve"> El corpus final estuvo constituido por </w:t>
      </w:r>
      <w:r w:rsidDel="00000000" w:rsidR="00000000" w:rsidRPr="00000000">
        <w:rPr>
          <w:rFonts w:ascii="Times New Roman" w:cs="Times New Roman" w:eastAsia="Times New Roman" w:hAnsi="Times New Roman"/>
          <w:b w:val="1"/>
          <w:bCs w:val="1"/>
          <w:rtl w:val="0"/>
        </w:rPr>
        <w:t xml:space="preserve">8,522 documentos</w:t>
      </w:r>
      <w:r w:rsidDel="00000000" w:rsidR="00000000" w:rsidRPr="00000000">
        <w:rPr>
          <w:rFonts w:ascii="Times New Roman" w:cs="Times New Roman" w:eastAsia="Times New Roman" w:hAnsi="Times New Roman"/>
          <w:rtl w:val="0"/>
        </w:rPr>
        <w:t xml:space="preserve"> relacionados con la aplicación de inteligencia artificial en investigación clínica, publicados entre 2023 y 2025 e indexados en Scopus, PubMed y ClinicalTrials.gov. El análisis de texto mediante TF–IDF y MiniBatchKMeans permitió identificar </w:t>
      </w:r>
      <w:r w:rsidDel="00000000" w:rsidR="00000000" w:rsidRPr="00000000">
        <w:rPr>
          <w:rFonts w:ascii="Times New Roman" w:cs="Times New Roman" w:eastAsia="Times New Roman" w:hAnsi="Times New Roman"/>
          <w:b w:val="1"/>
          <w:bCs w:val="1"/>
          <w:rtl w:val="0"/>
        </w:rPr>
        <w:t xml:space="preserve">10 clústeres temáticos</w:t>
      </w:r>
      <w:r w:rsidDel="00000000" w:rsidR="00000000" w:rsidRPr="00000000">
        <w:rPr>
          <w:rFonts w:ascii="Times New Roman" w:cs="Times New Roman" w:eastAsia="Times New Roman" w:hAnsi="Times New Roman"/>
          <w:rtl w:val="0"/>
        </w:rPr>
        <w:t xml:space="preserve"> diferenciados. En conjunto, estos clústeres abarcaron áreas como la integración de sistemas de IA en entornos sanitarios, el desarrollo y validación de modelos predictivos de riesgo, la imagenología médica basada en aprendizaje profundo, el descubrimiento de fármacos asistido por IA, la privacidad y la ética en el uso de datos clínicos, y las aplicaciones de procesamiento de lenguaje natural sobre registros electrónicos de salud (EHR).</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957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Clúster 0 – Integración y gestión de IA en salud</w:t>
        <w:br w:type="textWrapping"/>
      </w:r>
      <w:r w:rsidDel="00000000" w:rsidR="00000000" w:rsidRPr="00000000">
        <w:rPr>
          <w:rFonts w:ascii="Times New Roman" w:cs="Times New Roman" w:eastAsia="Times New Roman" w:hAnsi="Times New Roman"/>
          <w:rtl w:val="0"/>
        </w:rPr>
        <w:t xml:space="preserve"> El </w:t>
      </w:r>
      <w:r w:rsidDel="00000000" w:rsidR="00000000" w:rsidRPr="00000000">
        <w:rPr>
          <w:rFonts w:ascii="Times New Roman" w:cs="Times New Roman" w:eastAsia="Times New Roman" w:hAnsi="Times New Roman"/>
          <w:b w:val="1"/>
          <w:bCs w:val="1"/>
          <w:rtl w:val="0"/>
        </w:rPr>
        <w:t xml:space="preserve">Clúster 0</w:t>
      </w:r>
      <w:r w:rsidDel="00000000" w:rsidR="00000000" w:rsidRPr="00000000">
        <w:rPr>
          <w:rFonts w:ascii="Times New Roman" w:cs="Times New Roman" w:eastAsia="Times New Roman" w:hAnsi="Times New Roman"/>
          <w:rtl w:val="0"/>
        </w:rPr>
        <w:t xml:space="preserve"> agrupó estudios centrados en la </w:t>
      </w:r>
      <w:r w:rsidDel="00000000" w:rsidR="00000000" w:rsidRPr="00000000">
        <w:rPr>
          <w:rFonts w:ascii="Times New Roman" w:cs="Times New Roman" w:eastAsia="Times New Roman" w:hAnsi="Times New Roman"/>
          <w:b w:val="1"/>
          <w:bCs w:val="1"/>
          <w:rtl w:val="0"/>
        </w:rPr>
        <w:t xml:space="preserve">implementación e integración de soluciones de IA en sistemas de salud</w:t>
      </w:r>
      <w:r w:rsidDel="00000000" w:rsidR="00000000" w:rsidRPr="00000000">
        <w:rPr>
          <w:rFonts w:ascii="Times New Roman" w:cs="Times New Roman" w:eastAsia="Times New Roman" w:hAnsi="Times New Roman"/>
          <w:rtl w:val="0"/>
        </w:rPr>
        <w:t xml:space="preserve">, incluyendo aspectos de interoperabilidad, ciberseguridad, gestión de datos y gobernanza institucional. Entre las palabras clave más representativas se encontraron raíces como </w:t>
      </w:r>
      <w:r w:rsidDel="00000000" w:rsidR="00000000" w:rsidRPr="00000000">
        <w:rPr>
          <w:rFonts w:ascii="Times New Roman" w:cs="Times New Roman" w:eastAsia="Times New Roman" w:hAnsi="Times New Roman"/>
          <w:color w:val="188038"/>
          <w:rtl w:val="0"/>
        </w:rPr>
        <w:t xml:space="preserve">healthcar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secur</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color w:val="188038"/>
          <w:rtl w:val="0"/>
        </w:rPr>
        <w:t xml:space="preserve">blockchain</w:t>
      </w:r>
      <w:r w:rsidDel="00000000" w:rsidR="00000000" w:rsidRPr="00000000">
        <w:rPr>
          <w:rFonts w:ascii="Times New Roman" w:cs="Times New Roman" w:eastAsia="Times New Roman" w:hAnsi="Times New Roman"/>
          <w:rtl w:val="0"/>
        </w:rPr>
        <w:t xml:space="preserve">, que reflejaron el interés por sistemas resilientes y auditables. A lo largo del periodo de estudio, este clúster presentó una </w:t>
      </w:r>
      <w:r w:rsidDel="00000000" w:rsidR="00000000" w:rsidRPr="00000000">
        <w:rPr>
          <w:rFonts w:ascii="Times New Roman" w:cs="Times New Roman" w:eastAsia="Times New Roman" w:hAnsi="Times New Roman"/>
          <w:b w:val="1"/>
          <w:bCs w:val="1"/>
          <w:rtl w:val="0"/>
        </w:rPr>
        <w:t xml:space="preserve">tendencia claramente creciente</w:t>
      </w:r>
      <w:r w:rsidDel="00000000" w:rsidR="00000000" w:rsidRPr="00000000">
        <w:rPr>
          <w:rFonts w:ascii="Times New Roman" w:cs="Times New Roman" w:eastAsia="Times New Roman" w:hAnsi="Times New Roman"/>
          <w:rtl w:val="0"/>
        </w:rPr>
        <w:t xml:space="preserve">, indicando una atención progresiva hacia la infraestructura y la gobernanza necesarias para incorporar la IA en la práctica clínica y en los procesos de investigación.</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Clúster 1 – Modelos predictivos y evaluación de riesgo</w:t>
        <w:br w:type="textWrapping"/>
      </w:r>
      <w:r w:rsidDel="00000000" w:rsidR="00000000" w:rsidRPr="00000000">
        <w:rPr>
          <w:rFonts w:ascii="Times New Roman" w:cs="Times New Roman" w:eastAsia="Times New Roman" w:hAnsi="Times New Roman"/>
          <w:rtl w:val="0"/>
        </w:rPr>
        <w:t xml:space="preserve"> El </w:t>
      </w:r>
      <w:r w:rsidDel="00000000" w:rsidR="00000000" w:rsidRPr="00000000">
        <w:rPr>
          <w:rFonts w:ascii="Times New Roman" w:cs="Times New Roman" w:eastAsia="Times New Roman" w:hAnsi="Times New Roman"/>
          <w:b w:val="1"/>
          <w:bCs w:val="1"/>
          <w:rtl w:val="0"/>
        </w:rPr>
        <w:t xml:space="preserve">Clúster 1</w:t>
      </w:r>
      <w:r w:rsidDel="00000000" w:rsidR="00000000" w:rsidRPr="00000000">
        <w:rPr>
          <w:rFonts w:ascii="Times New Roman" w:cs="Times New Roman" w:eastAsia="Times New Roman" w:hAnsi="Times New Roman"/>
          <w:rtl w:val="0"/>
        </w:rPr>
        <w:t xml:space="preserve"> se centró en </w:t>
      </w:r>
      <w:r w:rsidDel="00000000" w:rsidR="00000000" w:rsidRPr="00000000">
        <w:rPr>
          <w:rFonts w:ascii="Times New Roman" w:cs="Times New Roman" w:eastAsia="Times New Roman" w:hAnsi="Times New Roman"/>
          <w:b w:val="1"/>
          <w:bCs w:val="1"/>
          <w:rtl w:val="0"/>
        </w:rPr>
        <w:t xml:space="preserve">modelos predictivos de riesgo</w:t>
      </w:r>
      <w:r w:rsidDel="00000000" w:rsidR="00000000" w:rsidRPr="00000000">
        <w:rPr>
          <w:rFonts w:ascii="Times New Roman" w:cs="Times New Roman" w:eastAsia="Times New Roman" w:hAnsi="Times New Roman"/>
          <w:rtl w:val="0"/>
        </w:rPr>
        <w:t xml:space="preserve">, incluyendo herramientas de estratificación de pacientes, predicción de desenlaces clínicos y modelos de pronóstico basados en variables clínicas y biomarcadores. Las palabras clave dominantes incluyeron </w:t>
      </w:r>
      <w:r w:rsidDel="00000000" w:rsidR="00000000" w:rsidRPr="00000000">
        <w:rPr>
          <w:rFonts w:ascii="Times New Roman" w:cs="Times New Roman" w:eastAsia="Times New Roman" w:hAnsi="Times New Roman"/>
          <w:color w:val="188038"/>
          <w:rtl w:val="0"/>
        </w:rPr>
        <w:t xml:space="preserve">predict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model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risk</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color w:val="188038"/>
          <w:rtl w:val="0"/>
        </w:rPr>
        <w:t xml:space="preserve">auc</w:t>
      </w:r>
      <w:r w:rsidDel="00000000" w:rsidR="00000000" w:rsidRPr="00000000">
        <w:rPr>
          <w:rFonts w:ascii="Times New Roman" w:cs="Times New Roman" w:eastAsia="Times New Roman" w:hAnsi="Times New Roman"/>
          <w:rtl w:val="0"/>
        </w:rPr>
        <w:t xml:space="preserve">, lo que evidenció el énfasis en métricas de desempeño y validación estadística. En términos temporales, este clúster mostró una </w:t>
      </w:r>
      <w:r w:rsidDel="00000000" w:rsidR="00000000" w:rsidRPr="00000000">
        <w:rPr>
          <w:rFonts w:ascii="Times New Roman" w:cs="Times New Roman" w:eastAsia="Times New Roman" w:hAnsi="Times New Roman"/>
          <w:b w:val="1"/>
          <w:bCs w:val="1"/>
          <w:rtl w:val="0"/>
        </w:rPr>
        <w:t xml:space="preserve">tendencia relativamente estable</w:t>
      </w:r>
      <w:r w:rsidDel="00000000" w:rsidR="00000000" w:rsidRPr="00000000">
        <w:rPr>
          <w:rFonts w:ascii="Times New Roman" w:cs="Times New Roman" w:eastAsia="Times New Roman" w:hAnsi="Times New Roman"/>
          <w:rtl w:val="0"/>
        </w:rPr>
        <w:t xml:space="preserve">, lo que sugiere que, aunque se trata de un dominio consolidado y de alta productividad, su crecimiento proporcional no se incrementó al mismo ritmo que otras áreas emergentes.</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Clúster 3 – Imagenología médica basada en deep learning</w:t>
        <w:br w:type="textWrapping"/>
      </w:r>
      <w:r w:rsidDel="00000000" w:rsidR="00000000" w:rsidRPr="00000000">
        <w:rPr>
          <w:rFonts w:ascii="Times New Roman" w:cs="Times New Roman" w:eastAsia="Times New Roman" w:hAnsi="Times New Roman"/>
          <w:rtl w:val="0"/>
        </w:rPr>
        <w:t xml:space="preserve"> El </w:t>
      </w:r>
      <w:r w:rsidDel="00000000" w:rsidR="00000000" w:rsidRPr="00000000">
        <w:rPr>
          <w:rFonts w:ascii="Times New Roman" w:cs="Times New Roman" w:eastAsia="Times New Roman" w:hAnsi="Times New Roman"/>
          <w:b w:val="1"/>
          <w:bCs w:val="1"/>
          <w:rtl w:val="0"/>
        </w:rPr>
        <w:t xml:space="preserve">Clúster 3</w:t>
      </w:r>
      <w:r w:rsidDel="00000000" w:rsidR="00000000" w:rsidRPr="00000000">
        <w:rPr>
          <w:rFonts w:ascii="Times New Roman" w:cs="Times New Roman" w:eastAsia="Times New Roman" w:hAnsi="Times New Roman"/>
          <w:rtl w:val="0"/>
        </w:rPr>
        <w:t xml:space="preserve"> correspondió al ámbito de la </w:t>
      </w:r>
      <w:r w:rsidDel="00000000" w:rsidR="00000000" w:rsidRPr="00000000">
        <w:rPr>
          <w:rFonts w:ascii="Times New Roman" w:cs="Times New Roman" w:eastAsia="Times New Roman" w:hAnsi="Times New Roman"/>
          <w:b w:val="1"/>
          <w:bCs w:val="1"/>
          <w:rtl w:val="0"/>
        </w:rPr>
        <w:t xml:space="preserve">imagenología médica</w:t>
      </w:r>
      <w:r w:rsidDel="00000000" w:rsidR="00000000" w:rsidRPr="00000000">
        <w:rPr>
          <w:rFonts w:ascii="Times New Roman" w:cs="Times New Roman" w:eastAsia="Times New Roman" w:hAnsi="Times New Roman"/>
          <w:rtl w:val="0"/>
        </w:rPr>
        <w:t xml:space="preserve">, en particular al uso de técnicas de </w:t>
      </w:r>
      <w:r w:rsidDel="00000000" w:rsidR="00000000" w:rsidRPr="00000000">
        <w:rPr>
          <w:rFonts w:ascii="Times New Roman" w:cs="Times New Roman" w:eastAsia="Times New Roman" w:hAnsi="Times New Roman"/>
          <w:i w:val="1"/>
          <w:iCs w:val="1"/>
          <w:rtl w:val="0"/>
        </w:rPr>
        <w:t xml:space="preserve">deep learning</w:t>
      </w:r>
      <w:r w:rsidDel="00000000" w:rsidR="00000000" w:rsidRPr="00000000">
        <w:rPr>
          <w:rFonts w:ascii="Times New Roman" w:cs="Times New Roman" w:eastAsia="Times New Roman" w:hAnsi="Times New Roman"/>
          <w:rtl w:val="0"/>
        </w:rPr>
        <w:t xml:space="preserve"> para tareas de segmentación, clasificación y detección en imágenes radiológicas, tomográficas y de resonancia magnética. Entre las raíces más frecuentes destacaron </w:t>
      </w:r>
      <w:r w:rsidDel="00000000" w:rsidR="00000000" w:rsidRPr="00000000">
        <w:rPr>
          <w:rFonts w:ascii="Times New Roman" w:cs="Times New Roman" w:eastAsia="Times New Roman" w:hAnsi="Times New Roman"/>
          <w:color w:val="188038"/>
          <w:rtl w:val="0"/>
        </w:rPr>
        <w:t xml:space="preserve">segment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imag</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color w:val="188038"/>
          <w:rtl w:val="0"/>
        </w:rPr>
        <w:t xml:space="preserve">deep</w:t>
      </w:r>
      <w:r w:rsidDel="00000000" w:rsidR="00000000" w:rsidRPr="00000000">
        <w:rPr>
          <w:rFonts w:ascii="Times New Roman" w:cs="Times New Roman" w:eastAsia="Times New Roman" w:hAnsi="Times New Roman"/>
          <w:rtl w:val="0"/>
        </w:rPr>
        <w:t xml:space="preserve">. Este clúster constituyó el de </w:t>
      </w:r>
      <w:r w:rsidDel="00000000" w:rsidR="00000000" w:rsidRPr="00000000">
        <w:rPr>
          <w:rFonts w:ascii="Times New Roman" w:cs="Times New Roman" w:eastAsia="Times New Roman" w:hAnsi="Times New Roman"/>
          <w:b w:val="1"/>
          <w:bCs w:val="1"/>
          <w:rtl w:val="0"/>
        </w:rPr>
        <w:t xml:space="preserve">mayor volumen absoluto de documentos</w:t>
      </w:r>
      <w:r w:rsidDel="00000000" w:rsidR="00000000" w:rsidRPr="00000000">
        <w:rPr>
          <w:rFonts w:ascii="Times New Roman" w:cs="Times New Roman" w:eastAsia="Times New Roman" w:hAnsi="Times New Roman"/>
          <w:rtl w:val="0"/>
        </w:rPr>
        <w:t xml:space="preserve"> dentro del corpus, lo que reflejó la intensa actividad investigadora en radiología y otras disciplinas basadas en imágenes. No obstante, su participación proporcional dentro del total de publicaciones mostró una </w:t>
      </w:r>
      <w:r w:rsidDel="00000000" w:rsidR="00000000" w:rsidRPr="00000000">
        <w:rPr>
          <w:rFonts w:ascii="Times New Roman" w:cs="Times New Roman" w:eastAsia="Times New Roman" w:hAnsi="Times New Roman"/>
          <w:b w:val="1"/>
          <w:bCs w:val="1"/>
          <w:rtl w:val="0"/>
        </w:rPr>
        <w:t xml:space="preserve">ligera disminución a lo largo del periodo</w:t>
      </w:r>
      <w:r w:rsidDel="00000000" w:rsidR="00000000" w:rsidRPr="00000000">
        <w:rPr>
          <w:rFonts w:ascii="Times New Roman" w:cs="Times New Roman" w:eastAsia="Times New Roman" w:hAnsi="Times New Roman"/>
          <w:rtl w:val="0"/>
        </w:rPr>
        <w:t xml:space="preserve">, indicando que, si bien la imagenología siguió siendo un pilar central, otros temas comenzaron a ganar peso relativo.</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Clúster 4 – Privacidad, seguridad, modelos federados y generativos</w:t>
        <w:br w:type="textWrapping"/>
      </w:r>
      <w:r w:rsidDel="00000000" w:rsidR="00000000" w:rsidRPr="00000000">
        <w:rPr>
          <w:rFonts w:ascii="Times New Roman" w:cs="Times New Roman" w:eastAsia="Times New Roman" w:hAnsi="Times New Roman"/>
          <w:rtl w:val="0"/>
        </w:rPr>
        <w:t xml:space="preserve"> El </w:t>
      </w:r>
      <w:r w:rsidDel="00000000" w:rsidR="00000000" w:rsidRPr="00000000">
        <w:rPr>
          <w:rFonts w:ascii="Times New Roman" w:cs="Times New Roman" w:eastAsia="Times New Roman" w:hAnsi="Times New Roman"/>
          <w:b w:val="1"/>
          <w:bCs w:val="1"/>
          <w:rtl w:val="0"/>
        </w:rPr>
        <w:t xml:space="preserve">Clúster 4</w:t>
      </w:r>
      <w:r w:rsidDel="00000000" w:rsidR="00000000" w:rsidRPr="00000000">
        <w:rPr>
          <w:rFonts w:ascii="Times New Roman" w:cs="Times New Roman" w:eastAsia="Times New Roman" w:hAnsi="Times New Roman"/>
          <w:rtl w:val="0"/>
        </w:rPr>
        <w:t xml:space="preserve"> agrupó trabajos centrados en </w:t>
      </w:r>
      <w:r w:rsidDel="00000000" w:rsidR="00000000" w:rsidRPr="00000000">
        <w:rPr>
          <w:rFonts w:ascii="Times New Roman" w:cs="Times New Roman" w:eastAsia="Times New Roman" w:hAnsi="Times New Roman"/>
          <w:b w:val="1"/>
          <w:bCs w:val="1"/>
          <w:rtl w:val="0"/>
        </w:rPr>
        <w:t xml:space="preserve">privacidad y seguridad de los datos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aprendizaje federado</w:t>
      </w:r>
      <w:r w:rsidDel="00000000" w:rsidR="00000000" w:rsidRPr="00000000">
        <w:rPr>
          <w:rFonts w:ascii="Times New Roman" w:cs="Times New Roman" w:eastAsia="Times New Roman" w:hAnsi="Times New Roman"/>
          <w:rtl w:val="0"/>
        </w:rPr>
        <w:t xml:space="preserve">, técnicas de anonimización, marcos éticos y primeras aplicaciones de </w:t>
      </w:r>
      <w:r w:rsidDel="00000000" w:rsidR="00000000" w:rsidRPr="00000000">
        <w:rPr>
          <w:rFonts w:ascii="Times New Roman" w:cs="Times New Roman" w:eastAsia="Times New Roman" w:hAnsi="Times New Roman"/>
          <w:b w:val="1"/>
          <w:bCs w:val="1"/>
          <w:rtl w:val="0"/>
        </w:rPr>
        <w:t xml:space="preserve">modelos generativos</w:t>
      </w:r>
      <w:r w:rsidDel="00000000" w:rsidR="00000000" w:rsidRPr="00000000">
        <w:rPr>
          <w:rFonts w:ascii="Times New Roman" w:cs="Times New Roman" w:eastAsia="Times New Roman" w:hAnsi="Times New Roman"/>
          <w:rtl w:val="0"/>
        </w:rPr>
        <w:t xml:space="preserve"> en contextos clínicos. Palabras truncadas como </w:t>
      </w:r>
      <w:r w:rsidDel="00000000" w:rsidR="00000000" w:rsidRPr="00000000">
        <w:rPr>
          <w:rFonts w:ascii="Times New Roman" w:cs="Times New Roman" w:eastAsia="Times New Roman" w:hAnsi="Times New Roman"/>
          <w:color w:val="188038"/>
          <w:rtl w:val="0"/>
        </w:rPr>
        <w:t xml:space="preserve">feder</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color w:val="188038"/>
          <w:rtl w:val="0"/>
        </w:rPr>
        <w:t xml:space="preserve">privaci</w:t>
      </w:r>
      <w:r w:rsidDel="00000000" w:rsidR="00000000" w:rsidRPr="00000000">
        <w:rPr>
          <w:rFonts w:ascii="Times New Roman" w:cs="Times New Roman" w:eastAsia="Times New Roman" w:hAnsi="Times New Roman"/>
          <w:rtl w:val="0"/>
        </w:rPr>
        <w:t xml:space="preserve"> reflejaron la relevancia de conceptos como </w:t>
      </w:r>
      <w:r w:rsidDel="00000000" w:rsidR="00000000" w:rsidRPr="00000000">
        <w:rPr>
          <w:rFonts w:ascii="Times New Roman" w:cs="Times New Roman" w:eastAsia="Times New Roman" w:hAnsi="Times New Roman"/>
          <w:i w:val="1"/>
          <w:iCs w:val="1"/>
          <w:rtl w:val="0"/>
        </w:rPr>
        <w:t xml:space="preserve">federated learning</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i w:val="1"/>
          <w:iCs w:val="1"/>
          <w:rtl w:val="0"/>
        </w:rPr>
        <w:t xml:space="preserve">privacy-preserving machine learning</w:t>
      </w:r>
      <w:r w:rsidDel="00000000" w:rsidR="00000000" w:rsidRPr="00000000">
        <w:rPr>
          <w:rFonts w:ascii="Times New Roman" w:cs="Times New Roman" w:eastAsia="Times New Roman" w:hAnsi="Times New Roman"/>
          <w:rtl w:val="0"/>
        </w:rPr>
        <w:t xml:space="preserve">. Este clúster presentó una </w:t>
      </w:r>
      <w:r w:rsidDel="00000000" w:rsidR="00000000" w:rsidRPr="00000000">
        <w:rPr>
          <w:rFonts w:ascii="Times New Roman" w:cs="Times New Roman" w:eastAsia="Times New Roman" w:hAnsi="Times New Roman"/>
          <w:b w:val="1"/>
          <w:bCs w:val="1"/>
          <w:rtl w:val="0"/>
        </w:rPr>
        <w:t xml:space="preserve">tendencia claramente creciente</w:t>
      </w:r>
      <w:r w:rsidDel="00000000" w:rsidR="00000000" w:rsidRPr="00000000">
        <w:rPr>
          <w:rFonts w:ascii="Times New Roman" w:cs="Times New Roman" w:eastAsia="Times New Roman" w:hAnsi="Times New Roman"/>
          <w:rtl w:val="0"/>
        </w:rPr>
        <w:t xml:space="preserve">, con un aumento notable de su proporción relativa en los años más recientes del periodo estudiado. Este comportamiento indicó un desplazamiento progresivo del interés científico hacia la </w:t>
      </w:r>
      <w:r w:rsidDel="00000000" w:rsidR="00000000" w:rsidRPr="00000000">
        <w:rPr>
          <w:rFonts w:ascii="Times New Roman" w:cs="Times New Roman" w:eastAsia="Times New Roman" w:hAnsi="Times New Roman"/>
          <w:b w:val="1"/>
          <w:bCs w:val="1"/>
          <w:rtl w:val="0"/>
        </w:rPr>
        <w:t xml:space="preserve">implementación responsable y regulada</w:t>
      </w:r>
      <w:r w:rsidDel="00000000" w:rsidR="00000000" w:rsidRPr="00000000">
        <w:rPr>
          <w:rFonts w:ascii="Times New Roman" w:cs="Times New Roman" w:eastAsia="Times New Roman" w:hAnsi="Times New Roman"/>
          <w:rtl w:val="0"/>
        </w:rPr>
        <w:t xml:space="preserve"> de la IA, más allá de la mera optimización de la precisión predictiva.</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Clúster 8 – NLP, LLMs y registros electrónicos de salud (EHR)</w:t>
        <w:br w:type="textWrapping"/>
      </w:r>
      <w:r w:rsidDel="00000000" w:rsidR="00000000" w:rsidRPr="00000000">
        <w:rPr>
          <w:rFonts w:ascii="Times New Roman" w:cs="Times New Roman" w:eastAsia="Times New Roman" w:hAnsi="Times New Roman"/>
          <w:rtl w:val="0"/>
        </w:rPr>
        <w:t xml:space="preserve"> El </w:t>
      </w:r>
      <w:r w:rsidDel="00000000" w:rsidR="00000000" w:rsidRPr="00000000">
        <w:rPr>
          <w:rFonts w:ascii="Times New Roman" w:cs="Times New Roman" w:eastAsia="Times New Roman" w:hAnsi="Times New Roman"/>
          <w:b w:val="1"/>
          <w:bCs w:val="1"/>
          <w:rtl w:val="0"/>
        </w:rPr>
        <w:t xml:space="preserve">Clúster 8</w:t>
      </w:r>
      <w:r w:rsidDel="00000000" w:rsidR="00000000" w:rsidRPr="00000000">
        <w:rPr>
          <w:rFonts w:ascii="Times New Roman" w:cs="Times New Roman" w:eastAsia="Times New Roman" w:hAnsi="Times New Roman"/>
          <w:rtl w:val="0"/>
        </w:rPr>
        <w:t xml:space="preserve"> representó un </w:t>
      </w:r>
      <w:r w:rsidDel="00000000" w:rsidR="00000000" w:rsidRPr="00000000">
        <w:rPr>
          <w:rFonts w:ascii="Times New Roman" w:cs="Times New Roman" w:eastAsia="Times New Roman" w:hAnsi="Times New Roman"/>
          <w:b w:val="1"/>
          <w:bCs w:val="1"/>
          <w:rtl w:val="0"/>
        </w:rPr>
        <w:t xml:space="preserve">dominio emergente</w:t>
      </w:r>
      <w:r w:rsidDel="00000000" w:rsidR="00000000" w:rsidRPr="00000000">
        <w:rPr>
          <w:rFonts w:ascii="Times New Roman" w:cs="Times New Roman" w:eastAsia="Times New Roman" w:hAnsi="Times New Roman"/>
          <w:rtl w:val="0"/>
        </w:rPr>
        <w:t xml:space="preserve"> centrado en el uso de </w:t>
      </w:r>
      <w:r w:rsidDel="00000000" w:rsidR="00000000" w:rsidRPr="00000000">
        <w:rPr>
          <w:rFonts w:ascii="Times New Roman" w:cs="Times New Roman" w:eastAsia="Times New Roman" w:hAnsi="Times New Roman"/>
          <w:b w:val="1"/>
          <w:bCs w:val="1"/>
          <w:rtl w:val="0"/>
        </w:rPr>
        <w:t xml:space="preserve">procesamiento de lenguaje natural (NLP)</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bCs w:val="1"/>
          <w:rtl w:val="0"/>
        </w:rPr>
        <w:t xml:space="preserve">grandes modelos de lenguaje (LLMs)</w:t>
      </w:r>
      <w:r w:rsidDel="00000000" w:rsidR="00000000" w:rsidRPr="00000000">
        <w:rPr>
          <w:rFonts w:ascii="Times New Roman" w:cs="Times New Roman" w:eastAsia="Times New Roman" w:hAnsi="Times New Roman"/>
          <w:rtl w:val="0"/>
        </w:rPr>
        <w:t xml:space="preserve"> aplicados a </w:t>
      </w:r>
      <w:r w:rsidDel="00000000" w:rsidR="00000000" w:rsidRPr="00000000">
        <w:rPr>
          <w:rFonts w:ascii="Times New Roman" w:cs="Times New Roman" w:eastAsia="Times New Roman" w:hAnsi="Times New Roman"/>
          <w:b w:val="1"/>
          <w:bCs w:val="1"/>
          <w:rtl w:val="0"/>
        </w:rPr>
        <w:t xml:space="preserve">registros electrónicos de salud (EHR)</w:t>
      </w:r>
      <w:r w:rsidDel="00000000" w:rsidR="00000000" w:rsidRPr="00000000">
        <w:rPr>
          <w:rFonts w:ascii="Times New Roman" w:cs="Times New Roman" w:eastAsia="Times New Roman" w:hAnsi="Times New Roman"/>
          <w:rtl w:val="0"/>
        </w:rPr>
        <w:t xml:space="preserve"> y otros textos clínicos no estructurados. Entre las palabras clave más características aparecieron raíces como </w:t>
      </w:r>
      <w:r w:rsidDel="00000000" w:rsidR="00000000" w:rsidRPr="00000000">
        <w:rPr>
          <w:rFonts w:ascii="Times New Roman" w:cs="Times New Roman" w:eastAsia="Times New Roman" w:hAnsi="Times New Roman"/>
          <w:color w:val="188038"/>
          <w:rtl w:val="0"/>
        </w:rPr>
        <w:t xml:space="preserve">llms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nlp</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color w:val="188038"/>
          <w:rtl w:val="0"/>
        </w:rPr>
        <w:t xml:space="preserve">ehr</w:t>
      </w:r>
      <w:r w:rsidDel="00000000" w:rsidR="00000000" w:rsidRPr="00000000">
        <w:rPr>
          <w:rFonts w:ascii="Times New Roman" w:cs="Times New Roman" w:eastAsia="Times New Roman" w:hAnsi="Times New Roman"/>
          <w:rtl w:val="0"/>
        </w:rPr>
        <w:t xml:space="preserve">. A lo largo del periodo 2023–2025, este clúster mostró un </w:t>
      </w:r>
      <w:r w:rsidDel="00000000" w:rsidR="00000000" w:rsidRPr="00000000">
        <w:rPr>
          <w:rFonts w:ascii="Times New Roman" w:cs="Times New Roman" w:eastAsia="Times New Roman" w:hAnsi="Times New Roman"/>
          <w:b w:val="1"/>
          <w:bCs w:val="1"/>
          <w:rtl w:val="0"/>
        </w:rPr>
        <w:t xml:space="preserve">crecimiento reciente y acelerado</w:t>
      </w:r>
      <w:r w:rsidDel="00000000" w:rsidR="00000000" w:rsidRPr="00000000">
        <w:rPr>
          <w:rFonts w:ascii="Times New Roman" w:cs="Times New Roman" w:eastAsia="Times New Roman" w:hAnsi="Times New Roman"/>
          <w:rtl w:val="0"/>
        </w:rPr>
        <w:t xml:space="preserve">, aunque partiendo de una base numérica menor en comparación con áreas más consolidadas. La configuración de este clúster emergente sugiere una creciente atención hacia aplicaciones generativas y de comprensión del lenguaje en el ámbito de la documentación clínica.</w:t>
      </w:r>
    </w:p>
    <w:p w:rsidR="00000000" w:rsidDel="00000000" w:rsidP="00000000" w:rsidRDefault="00000000" w:rsidRPr="00000000" w14:paraId="00000032">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Resumen de tendencias temporales</w:t>
        <w:br w:type="textWrapping"/>
      </w:r>
      <w:r w:rsidDel="00000000" w:rsidR="00000000" w:rsidRPr="00000000">
        <w:rPr>
          <w:rFonts w:ascii="Times New Roman" w:cs="Times New Roman" w:eastAsia="Times New Roman" w:hAnsi="Times New Roman"/>
          <w:rtl w:val="0"/>
        </w:rPr>
        <w:t xml:space="preserve"> En síntesis, el análisis temporal reveló patrones diferenciados entre los clústeres. El </w:t>
      </w:r>
      <w:r w:rsidDel="00000000" w:rsidR="00000000" w:rsidRPr="00000000">
        <w:rPr>
          <w:rFonts w:ascii="Times New Roman" w:cs="Times New Roman" w:eastAsia="Times New Roman" w:hAnsi="Times New Roman"/>
          <w:b w:val="1"/>
          <w:bCs w:val="1"/>
          <w:rtl w:val="0"/>
        </w:rPr>
        <w:t xml:space="preserve">Clúster 0</w:t>
      </w:r>
      <w:r w:rsidDel="00000000" w:rsidR="00000000" w:rsidRPr="00000000">
        <w:rPr>
          <w:rFonts w:ascii="Times New Roman" w:cs="Times New Roman" w:eastAsia="Times New Roman" w:hAnsi="Times New Roman"/>
          <w:rtl w:val="0"/>
        </w:rPr>
        <w:t xml:space="preserve"> (integración y gestión de IA en salud) exhibió un </w:t>
      </w:r>
      <w:r w:rsidDel="00000000" w:rsidR="00000000" w:rsidRPr="00000000">
        <w:rPr>
          <w:rFonts w:ascii="Times New Roman" w:cs="Times New Roman" w:eastAsia="Times New Roman" w:hAnsi="Times New Roman"/>
          <w:b w:val="1"/>
          <w:bCs w:val="1"/>
          <w:rtl w:val="0"/>
        </w:rPr>
        <w:t xml:space="preserve">crecimiento sostenido</w:t>
      </w:r>
      <w:r w:rsidDel="00000000" w:rsidR="00000000" w:rsidRPr="00000000">
        <w:rPr>
          <w:rFonts w:ascii="Times New Roman" w:cs="Times New Roman" w:eastAsia="Times New Roman" w:hAnsi="Times New Roman"/>
          <w:rtl w:val="0"/>
        </w:rPr>
        <w:t xml:space="preserve">, indicando que las cuestiones de infraestructura, seguridad y gobernanza se volvieron cada vez más centrales. El </w:t>
      </w:r>
      <w:r w:rsidDel="00000000" w:rsidR="00000000" w:rsidRPr="00000000">
        <w:rPr>
          <w:rFonts w:ascii="Times New Roman" w:cs="Times New Roman" w:eastAsia="Times New Roman" w:hAnsi="Times New Roman"/>
          <w:b w:val="1"/>
          <w:bCs w:val="1"/>
          <w:rtl w:val="0"/>
        </w:rPr>
        <w:t xml:space="preserve">Clúster 1</w:t>
      </w:r>
      <w:r w:rsidDel="00000000" w:rsidR="00000000" w:rsidRPr="00000000">
        <w:rPr>
          <w:rFonts w:ascii="Times New Roman" w:cs="Times New Roman" w:eastAsia="Times New Roman" w:hAnsi="Times New Roman"/>
          <w:rtl w:val="0"/>
        </w:rPr>
        <w:t xml:space="preserve"> (modelos predictivos de riesgo) y otros clústeres relacionados con modelado tradicional, incluido el ámbito de </w:t>
      </w:r>
      <w:r w:rsidDel="00000000" w:rsidR="00000000" w:rsidRPr="00000000">
        <w:rPr>
          <w:rFonts w:ascii="Times New Roman" w:cs="Times New Roman" w:eastAsia="Times New Roman" w:hAnsi="Times New Roman"/>
          <w:b w:val="1"/>
          <w:bCs w:val="1"/>
          <w:rtl w:val="0"/>
        </w:rPr>
        <w:t xml:space="preserve">descubrimiento de fármacos (Clúster 2)</w:t>
      </w:r>
      <w:r w:rsidDel="00000000" w:rsidR="00000000" w:rsidRPr="00000000">
        <w:rPr>
          <w:rFonts w:ascii="Times New Roman" w:cs="Times New Roman" w:eastAsia="Times New Roman" w:hAnsi="Times New Roman"/>
          <w:rtl w:val="0"/>
        </w:rPr>
        <w:t xml:space="preserve">, se mantuvieron </w:t>
      </w:r>
      <w:r w:rsidDel="00000000" w:rsidR="00000000" w:rsidRPr="00000000">
        <w:rPr>
          <w:rFonts w:ascii="Times New Roman" w:cs="Times New Roman" w:eastAsia="Times New Roman" w:hAnsi="Times New Roman"/>
          <w:b w:val="1"/>
          <w:bCs w:val="1"/>
          <w:rtl w:val="0"/>
        </w:rPr>
        <w:t xml:space="preserve">relativamente estables en proporción</w:t>
      </w:r>
      <w:r w:rsidDel="00000000" w:rsidR="00000000" w:rsidRPr="00000000">
        <w:rPr>
          <w:rFonts w:ascii="Times New Roman" w:cs="Times New Roman" w:eastAsia="Times New Roman" w:hAnsi="Times New Roman"/>
          <w:rtl w:val="0"/>
        </w:rPr>
        <w:t xml:space="preserve">, lo que es coherente con su condición de áreas consolidadas. El </w:t>
      </w:r>
      <w:r w:rsidDel="00000000" w:rsidR="00000000" w:rsidRPr="00000000">
        <w:rPr>
          <w:rFonts w:ascii="Times New Roman" w:cs="Times New Roman" w:eastAsia="Times New Roman" w:hAnsi="Times New Roman"/>
          <w:b w:val="1"/>
          <w:bCs w:val="1"/>
          <w:rtl w:val="0"/>
        </w:rPr>
        <w:t xml:space="preserve">Clúster 3</w:t>
      </w:r>
      <w:r w:rsidDel="00000000" w:rsidR="00000000" w:rsidRPr="00000000">
        <w:rPr>
          <w:rFonts w:ascii="Times New Roman" w:cs="Times New Roman" w:eastAsia="Times New Roman" w:hAnsi="Times New Roman"/>
          <w:rtl w:val="0"/>
        </w:rPr>
        <w:t xml:space="preserve"> (imagenología) conservó el mayor volumen absoluto, pero con una </w:t>
      </w:r>
      <w:r w:rsidDel="00000000" w:rsidR="00000000" w:rsidRPr="00000000">
        <w:rPr>
          <w:rFonts w:ascii="Times New Roman" w:cs="Times New Roman" w:eastAsia="Times New Roman" w:hAnsi="Times New Roman"/>
          <w:b w:val="1"/>
          <w:bCs w:val="1"/>
          <w:rtl w:val="0"/>
        </w:rPr>
        <w:t xml:space="preserve">disminución proporcional ligera</w:t>
      </w:r>
      <w:r w:rsidDel="00000000" w:rsidR="00000000" w:rsidRPr="00000000">
        <w:rPr>
          <w:rFonts w:ascii="Times New Roman" w:cs="Times New Roman" w:eastAsia="Times New Roman" w:hAnsi="Times New Roman"/>
          <w:rtl w:val="0"/>
        </w:rPr>
        <w:t xml:space="preserve">, reflejando una diversificación del campo hacia temas más allá de las imágenes. En contraste, el </w:t>
      </w:r>
      <w:r w:rsidDel="00000000" w:rsidR="00000000" w:rsidRPr="00000000">
        <w:rPr>
          <w:rFonts w:ascii="Times New Roman" w:cs="Times New Roman" w:eastAsia="Times New Roman" w:hAnsi="Times New Roman"/>
          <w:b w:val="1"/>
          <w:bCs w:val="1"/>
          <w:rtl w:val="0"/>
        </w:rPr>
        <w:t xml:space="preserve">Clúster 4</w:t>
      </w:r>
      <w:r w:rsidDel="00000000" w:rsidR="00000000" w:rsidRPr="00000000">
        <w:rPr>
          <w:rFonts w:ascii="Times New Roman" w:cs="Times New Roman" w:eastAsia="Times New Roman" w:hAnsi="Times New Roman"/>
          <w:rtl w:val="0"/>
        </w:rPr>
        <w:t xml:space="preserve"> (privacidad, seguridad y modelos federados/generativos) mostró un </w:t>
      </w:r>
      <w:r w:rsidDel="00000000" w:rsidR="00000000" w:rsidRPr="00000000">
        <w:rPr>
          <w:rFonts w:ascii="Times New Roman" w:cs="Times New Roman" w:eastAsia="Times New Roman" w:hAnsi="Times New Roman"/>
          <w:b w:val="1"/>
          <w:bCs w:val="1"/>
          <w:rtl w:val="0"/>
        </w:rPr>
        <w:t xml:space="preserve">crecimiento acelerado</w:t>
      </w:r>
      <w:r w:rsidDel="00000000" w:rsidR="00000000" w:rsidRPr="00000000">
        <w:rPr>
          <w:rFonts w:ascii="Times New Roman" w:cs="Times New Roman" w:eastAsia="Times New Roman" w:hAnsi="Times New Roman"/>
          <w:rtl w:val="0"/>
        </w:rPr>
        <w:t xml:space="preserve">, y el </w:t>
      </w:r>
      <w:r w:rsidDel="00000000" w:rsidR="00000000" w:rsidRPr="00000000">
        <w:rPr>
          <w:rFonts w:ascii="Times New Roman" w:cs="Times New Roman" w:eastAsia="Times New Roman" w:hAnsi="Times New Roman"/>
          <w:b w:val="1"/>
          <w:bCs w:val="1"/>
          <w:rtl w:val="0"/>
        </w:rPr>
        <w:t xml:space="preserve">Clúster 8</w:t>
      </w:r>
      <w:r w:rsidDel="00000000" w:rsidR="00000000" w:rsidRPr="00000000">
        <w:rPr>
          <w:rFonts w:ascii="Times New Roman" w:cs="Times New Roman" w:eastAsia="Times New Roman" w:hAnsi="Times New Roman"/>
          <w:rtl w:val="0"/>
        </w:rPr>
        <w:t xml:space="preserve"> (NLP/LLMs y EHR) se configuró como una </w:t>
      </w:r>
      <w:r w:rsidDel="00000000" w:rsidR="00000000" w:rsidRPr="00000000">
        <w:rPr>
          <w:rFonts w:ascii="Times New Roman" w:cs="Times New Roman" w:eastAsia="Times New Roman" w:hAnsi="Times New Roman"/>
          <w:b w:val="1"/>
          <w:bCs w:val="1"/>
          <w:rtl w:val="0"/>
        </w:rPr>
        <w:t xml:space="preserve">línea emergente</w:t>
      </w:r>
      <w:r w:rsidDel="00000000" w:rsidR="00000000" w:rsidRPr="00000000">
        <w:rPr>
          <w:rFonts w:ascii="Times New Roman" w:cs="Times New Roman" w:eastAsia="Times New Roman" w:hAnsi="Times New Roman"/>
          <w:rtl w:val="0"/>
        </w:rPr>
        <w:t xml:space="preserve">, especialmente ligada a la irrupción de la IA generativa en entornos clínicos.</w:t>
      </w:r>
      <w:r w:rsidDel="00000000" w:rsidR="00000000" w:rsidRPr="00000000">
        <w:br w:type="page"/>
      </w:r>
      <w:r w:rsidDel="00000000" w:rsidR="00000000" w:rsidRPr="00000000">
        <w:rPr>
          <w:rtl w:val="0"/>
        </w:rPr>
      </w:r>
    </w:p>
    <w:p w:rsidR="00000000" w:rsidDel="00000000" w:rsidP="00000000" w:rsidRDefault="00000000" w:rsidRPr="00000000" w14:paraId="00000034">
      <w:pPr>
        <w:spacing w:after="240" w:befor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2762250</wp:posOffset>
            </wp:positionH>
            <wp:positionV relativeFrom="paragraph">
              <wp:posOffset>4381500</wp:posOffset>
            </wp:positionV>
            <wp:extent cx="3962128" cy="2957513"/>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62128" cy="29575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480013</wp:posOffset>
            </wp:positionV>
            <wp:extent cx="3881438" cy="3285820"/>
            <wp:effectExtent b="0" l="0" r="0" t="0"/>
            <wp:wrapNone/>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81438" cy="328582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4381500</wp:posOffset>
            </wp:positionV>
            <wp:extent cx="2962847" cy="2565764"/>
            <wp:effectExtent b="0" l="0" r="0" t="0"/>
            <wp:wrapNone/>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62847" cy="2565764"/>
                    </a:xfrm>
                    <a:prstGeom prst="rect"/>
                    <a:ln/>
                  </pic:spPr>
                </pic:pic>
              </a:graphicData>
            </a:graphic>
          </wp:anchor>
        </w:drawing>
      </w:r>
    </w:p>
    <w:p w:rsidR="00000000" w:rsidDel="00000000" w:rsidP="00000000" w:rsidRDefault="00000000" w:rsidRPr="00000000" w14:paraId="0000003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se8rqim21ra" w:id="4"/>
      <w:bookmarkEnd w:id="4"/>
      <w:r w:rsidDel="00000000" w:rsidR="00000000" w:rsidRPr="00000000">
        <w:rPr>
          <w:rFonts w:ascii="Times New Roman" w:cs="Times New Roman" w:eastAsia="Times New Roman" w:hAnsi="Times New Roman"/>
          <w:b w:val="1"/>
          <w:bCs w:val="1"/>
          <w:color w:val="000000"/>
          <w:sz w:val="26"/>
          <w:szCs w:val="26"/>
          <w:rtl w:val="0"/>
        </w:rPr>
        <w:t xml:space="preserve">2.6. Discusión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de esta scoping review asistida por minería de texto indican que el campo de la IA aplicada a la investigación clínica está experimentando un </w:t>
      </w:r>
      <w:r w:rsidDel="00000000" w:rsidR="00000000" w:rsidRPr="00000000">
        <w:rPr>
          <w:rFonts w:ascii="Times New Roman" w:cs="Times New Roman" w:eastAsia="Times New Roman" w:hAnsi="Times New Roman"/>
          <w:b w:val="1"/>
          <w:bCs w:val="1"/>
          <w:rtl w:val="0"/>
        </w:rPr>
        <w:t xml:space="preserve">cambio de foco progresivo</w:t>
      </w:r>
      <w:r w:rsidDel="00000000" w:rsidR="00000000" w:rsidRPr="00000000">
        <w:rPr>
          <w:rFonts w:ascii="Times New Roman" w:cs="Times New Roman" w:eastAsia="Times New Roman" w:hAnsi="Times New Roman"/>
          <w:rtl w:val="0"/>
        </w:rPr>
        <w:t xml:space="preserve">. En una fase inicial, la atención se concentró en la </w:t>
      </w:r>
      <w:r w:rsidDel="00000000" w:rsidR="00000000" w:rsidRPr="00000000">
        <w:rPr>
          <w:rFonts w:ascii="Times New Roman" w:cs="Times New Roman" w:eastAsia="Times New Roman" w:hAnsi="Times New Roman"/>
          <w:b w:val="1"/>
          <w:bCs w:val="1"/>
          <w:rtl w:val="0"/>
        </w:rPr>
        <w:t xml:space="preserve">precisión técnica</w:t>
      </w:r>
      <w:r w:rsidDel="00000000" w:rsidR="00000000" w:rsidRPr="00000000">
        <w:rPr>
          <w:rFonts w:ascii="Times New Roman" w:cs="Times New Roman" w:eastAsia="Times New Roman" w:hAnsi="Times New Roman"/>
          <w:rtl w:val="0"/>
        </w:rPr>
        <w:t xml:space="preserve"> y el desempeño de modelos en tareas específicas, especialmente en ámbitos de imagenología y predicción de riesgo. La consolidación de clústeres como el de </w:t>
      </w:r>
      <w:r w:rsidDel="00000000" w:rsidR="00000000" w:rsidRPr="00000000">
        <w:rPr>
          <w:rFonts w:ascii="Times New Roman" w:cs="Times New Roman" w:eastAsia="Times New Roman" w:hAnsi="Times New Roman"/>
          <w:b w:val="1"/>
          <w:bCs w:val="1"/>
          <w:rtl w:val="0"/>
        </w:rPr>
        <w:t xml:space="preserve">imagenología basada en deep learning (Clúster 3)</w:t>
      </w:r>
      <w:r w:rsidDel="00000000" w:rsidR="00000000" w:rsidRPr="00000000">
        <w:rPr>
          <w:rFonts w:ascii="Times New Roman" w:cs="Times New Roman" w:eastAsia="Times New Roman" w:hAnsi="Times New Roman"/>
          <w:rtl w:val="0"/>
        </w:rPr>
        <w:t xml:space="preserve"> y el de </w:t>
      </w:r>
      <w:r w:rsidDel="00000000" w:rsidR="00000000" w:rsidRPr="00000000">
        <w:rPr>
          <w:rFonts w:ascii="Times New Roman" w:cs="Times New Roman" w:eastAsia="Times New Roman" w:hAnsi="Times New Roman"/>
          <w:b w:val="1"/>
          <w:bCs w:val="1"/>
          <w:rtl w:val="0"/>
        </w:rPr>
        <w:t xml:space="preserve">modelos predictivos (Clúster 1)</w:t>
      </w:r>
      <w:r w:rsidDel="00000000" w:rsidR="00000000" w:rsidRPr="00000000">
        <w:rPr>
          <w:rFonts w:ascii="Times New Roman" w:cs="Times New Roman" w:eastAsia="Times New Roman" w:hAnsi="Times New Roman"/>
          <w:rtl w:val="0"/>
        </w:rPr>
        <w:t xml:space="preserve"> refleja esta etapa, caracterizada por la optimización de algoritmos, la mejora de métricas como el AUC y la promoción de pruebas de concepto.</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el crecimiento notorio de clústeres orientados a </w:t>
      </w:r>
      <w:r w:rsidDel="00000000" w:rsidR="00000000" w:rsidRPr="00000000">
        <w:rPr>
          <w:rFonts w:ascii="Times New Roman" w:cs="Times New Roman" w:eastAsia="Times New Roman" w:hAnsi="Times New Roman"/>
          <w:b w:val="1"/>
          <w:bCs w:val="1"/>
          <w:rtl w:val="0"/>
        </w:rPr>
        <w:t xml:space="preserve">privacidad, seguridad, aprendizaje federado y marcos éticos (Clúster 4)</w:t>
      </w:r>
      <w:r w:rsidDel="00000000" w:rsidR="00000000" w:rsidRPr="00000000">
        <w:rPr>
          <w:rFonts w:ascii="Times New Roman" w:cs="Times New Roman" w:eastAsia="Times New Roman" w:hAnsi="Times New Roman"/>
          <w:rtl w:val="0"/>
        </w:rPr>
        <w:t xml:space="preserve"> sugiere que el eje del debate se está desplazando hacia la </w:t>
      </w:r>
      <w:r w:rsidDel="00000000" w:rsidR="00000000" w:rsidRPr="00000000">
        <w:rPr>
          <w:rFonts w:ascii="Times New Roman" w:cs="Times New Roman" w:eastAsia="Times New Roman" w:hAnsi="Times New Roman"/>
          <w:b w:val="1"/>
          <w:bCs w:val="1"/>
          <w:rtl w:val="0"/>
        </w:rPr>
        <w:t xml:space="preserve">implementación responsable</w:t>
      </w:r>
      <w:r w:rsidDel="00000000" w:rsidR="00000000" w:rsidRPr="00000000">
        <w:rPr>
          <w:rFonts w:ascii="Times New Roman" w:cs="Times New Roman" w:eastAsia="Times New Roman" w:hAnsi="Times New Roman"/>
          <w:rtl w:val="0"/>
        </w:rPr>
        <w:t xml:space="preserve"> de la IA. En el periodo analizado, este clúster mostró una expansión proporcional que contrasta con la relativa estabilización de dominios más maduros. Ello indica que la comunidad científica reconoce cada vez más que la adopción de IA en contextos clínicos no puede reducirse a la mejora de la precisión, sino que exige </w:t>
      </w:r>
      <w:r w:rsidDel="00000000" w:rsidR="00000000" w:rsidRPr="00000000">
        <w:rPr>
          <w:rFonts w:ascii="Times New Roman" w:cs="Times New Roman" w:eastAsia="Times New Roman" w:hAnsi="Times New Roman"/>
          <w:b w:val="1"/>
          <w:bCs w:val="1"/>
          <w:rtl w:val="0"/>
        </w:rPr>
        <w:t xml:space="preserve">garantías sólidas en términos de protección de datos, equidad, explicabilidad y cumplimiento regulatorio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paralelo, la emergencia del </w:t>
      </w:r>
      <w:r w:rsidDel="00000000" w:rsidR="00000000" w:rsidRPr="00000000">
        <w:rPr>
          <w:rFonts w:ascii="Times New Roman" w:cs="Times New Roman" w:eastAsia="Times New Roman" w:hAnsi="Times New Roman"/>
          <w:b w:val="1"/>
          <w:bCs w:val="1"/>
          <w:rtl w:val="0"/>
        </w:rPr>
        <w:t xml:space="preserve">Clúster 8</w:t>
      </w:r>
      <w:r w:rsidDel="00000000" w:rsidR="00000000" w:rsidRPr="00000000">
        <w:rPr>
          <w:rFonts w:ascii="Times New Roman" w:cs="Times New Roman" w:eastAsia="Times New Roman" w:hAnsi="Times New Roman"/>
          <w:rtl w:val="0"/>
        </w:rPr>
        <w:t xml:space="preserve">, centrado en </w:t>
      </w:r>
      <w:r w:rsidDel="00000000" w:rsidR="00000000" w:rsidRPr="00000000">
        <w:rPr>
          <w:rFonts w:ascii="Times New Roman" w:cs="Times New Roman" w:eastAsia="Times New Roman" w:hAnsi="Times New Roman"/>
          <w:b w:val="1"/>
          <w:bCs w:val="1"/>
          <w:rtl w:val="0"/>
        </w:rPr>
        <w:t xml:space="preserve">NLP, LLMs y EHR</w:t>
      </w:r>
      <w:r w:rsidDel="00000000" w:rsidR="00000000" w:rsidRPr="00000000">
        <w:rPr>
          <w:rFonts w:ascii="Times New Roman" w:cs="Times New Roman" w:eastAsia="Times New Roman" w:hAnsi="Times New Roman"/>
          <w:rtl w:val="0"/>
        </w:rPr>
        <w:t xml:space="preserve">, evidencia la entrada en escena de una nueva generación de herramientas basadas en </w:t>
      </w:r>
      <w:r w:rsidDel="00000000" w:rsidR="00000000" w:rsidRPr="00000000">
        <w:rPr>
          <w:rFonts w:ascii="Times New Roman" w:cs="Times New Roman" w:eastAsia="Times New Roman" w:hAnsi="Times New Roman"/>
          <w:b w:val="1"/>
          <w:bCs w:val="1"/>
          <w:rtl w:val="0"/>
        </w:rPr>
        <w:t xml:space="preserve">modelos de lenguaje de gran tamaño</w:t>
      </w:r>
      <w:r w:rsidDel="00000000" w:rsidR="00000000" w:rsidRPr="00000000">
        <w:rPr>
          <w:rFonts w:ascii="Times New Roman" w:cs="Times New Roman" w:eastAsia="Times New Roman" w:hAnsi="Times New Roman"/>
          <w:rtl w:val="0"/>
        </w:rPr>
        <w:t xml:space="preserve"> capaces de procesar y generar texto clínico. Esta tendencia plantea oportunidades y riesgos simultáneos. Por un lado, los LLMs y la IA generativa prometen agilizar la síntesis de evidencia, la creación de borradores de protocolos y artículos, y el soporte a la toma de decisiones clínicas. Por otro lado, las </w:t>
      </w:r>
      <w:r w:rsidDel="00000000" w:rsidR="00000000" w:rsidRPr="00000000">
        <w:rPr>
          <w:rFonts w:ascii="Times New Roman" w:cs="Times New Roman" w:eastAsia="Times New Roman" w:hAnsi="Times New Roman"/>
          <w:b w:val="1"/>
          <w:bCs w:val="1"/>
          <w:rtl w:val="0"/>
        </w:rPr>
        <w:t xml:space="preserve">alucinaciones</w:t>
      </w:r>
      <w:r w:rsidDel="00000000" w:rsidR="00000000" w:rsidRPr="00000000">
        <w:rPr>
          <w:rFonts w:ascii="Times New Roman" w:cs="Times New Roman" w:eastAsia="Times New Roman" w:hAnsi="Times New Roman"/>
          <w:rtl w:val="0"/>
        </w:rPr>
        <w:t xml:space="preserve">, los sesgos y la opacidad de estos modelos refuerzan la necesidad de marcos técnicos y éticos que limiten su uso indiscriminado en entornos de alta sensibilidad.</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escenario, los </w:t>
      </w:r>
      <w:r w:rsidDel="00000000" w:rsidR="00000000" w:rsidRPr="00000000">
        <w:rPr>
          <w:rFonts w:ascii="Times New Roman" w:cs="Times New Roman" w:eastAsia="Times New Roman" w:hAnsi="Times New Roman"/>
          <w:b w:val="1"/>
          <w:bCs w:val="1"/>
          <w:rtl w:val="0"/>
        </w:rPr>
        <w:t xml:space="preserve">sistemas de </w:t>
      </w:r>
      <w:r w:rsidDel="00000000" w:rsidR="00000000" w:rsidRPr="00000000">
        <w:rPr>
          <w:rFonts w:ascii="Times New Roman" w:cs="Times New Roman" w:eastAsia="Times New Roman" w:hAnsi="Times New Roman"/>
          <w:b w:val="1"/>
          <w:bCs w:val="1"/>
          <w:i w:val="1"/>
          <w:iCs w:val="1"/>
          <w:rtl w:val="0"/>
        </w:rPr>
        <w:t xml:space="preserve">Retrieval-Augmented Generation</w:t>
      </w:r>
      <w:r w:rsidDel="00000000" w:rsidR="00000000" w:rsidRPr="00000000">
        <w:rPr>
          <w:rFonts w:ascii="Times New Roman" w:cs="Times New Roman" w:eastAsia="Times New Roman" w:hAnsi="Times New Roman"/>
          <w:b w:val="1"/>
          <w:bCs w:val="1"/>
          <w:rtl w:val="0"/>
        </w:rPr>
        <w:t xml:space="preserve"> (RAG)</w:t>
      </w:r>
      <w:r w:rsidDel="00000000" w:rsidR="00000000" w:rsidRPr="00000000">
        <w:rPr>
          <w:rFonts w:ascii="Times New Roman" w:cs="Times New Roman" w:eastAsia="Times New Roman" w:hAnsi="Times New Roman"/>
          <w:rtl w:val="0"/>
        </w:rPr>
        <w:t xml:space="preserve"> adquieren un papel central como respuesta técnica a los hallazgos de esta revisión. Los RAG combinan la capacidad generativa de los LLMs con módulos de </w:t>
      </w:r>
      <w:r w:rsidDel="00000000" w:rsidR="00000000" w:rsidRPr="00000000">
        <w:rPr>
          <w:rFonts w:ascii="Times New Roman" w:cs="Times New Roman" w:eastAsia="Times New Roman" w:hAnsi="Times New Roman"/>
          <w:b w:val="1"/>
          <w:bCs w:val="1"/>
          <w:rtl w:val="0"/>
        </w:rPr>
        <w:t xml:space="preserve">recuperación de documentos relevantes</w:t>
      </w:r>
      <w:r w:rsidDel="00000000" w:rsidR="00000000" w:rsidRPr="00000000">
        <w:rPr>
          <w:rFonts w:ascii="Times New Roman" w:cs="Times New Roman" w:eastAsia="Times New Roman" w:hAnsi="Times New Roman"/>
          <w:rtl w:val="0"/>
        </w:rPr>
        <w:t xml:space="preserve"> desde repositorios actualizados, permitiendo que las respuestas se apoyen explícitamente en </w:t>
      </w:r>
      <w:r w:rsidDel="00000000" w:rsidR="00000000" w:rsidRPr="00000000">
        <w:rPr>
          <w:rFonts w:ascii="Times New Roman" w:cs="Times New Roman" w:eastAsia="Times New Roman" w:hAnsi="Times New Roman"/>
          <w:b w:val="1"/>
          <w:bCs w:val="1"/>
          <w:rtl w:val="0"/>
        </w:rPr>
        <w:t xml:space="preserve">fuentes verificables</w:t>
      </w:r>
      <w:r w:rsidDel="00000000" w:rsidR="00000000" w:rsidRPr="00000000">
        <w:rPr>
          <w:rFonts w:ascii="Times New Roman" w:cs="Times New Roman" w:eastAsia="Times New Roman" w:hAnsi="Times New Roman"/>
          <w:rtl w:val="0"/>
        </w:rPr>
        <w:t xml:space="preserve">. Desde la perspectiva que ofrecen los clústeres identificados, el auge de estudios sobre privacidad, federated learning y modelos generativos sugiere que el futuro de la IA clínica dependerá en gran medida de soluciones que:</w:t>
      </w:r>
    </w:p>
    <w:p w:rsidR="00000000" w:rsidDel="00000000" w:rsidP="00000000" w:rsidRDefault="00000000" w:rsidRPr="00000000" w14:paraId="0000003F">
      <w:pPr>
        <w:numPr>
          <w:ilvl w:val="0"/>
          <w:numId w:val="1"/>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reduzcan las alucinaciones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40">
      <w:pPr>
        <w:numPr>
          <w:ilvl w:val="0"/>
          <w:numId w:val="1"/>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anclen las recomendaciones en evidencia reciente y trazable</w:t>
      </w:r>
      <w:r w:rsidDel="00000000" w:rsidR="00000000" w:rsidRPr="00000000">
        <w:rPr>
          <w:rFonts w:ascii="Times New Roman" w:cs="Times New Roman" w:eastAsia="Times New Roman" w:hAnsi="Times New Roman"/>
          <w:rtl w:val="0"/>
        </w:rPr>
        <w:t xml:space="preserve">, y</w:t>
        <w:br w:type="textWrapping"/>
      </w:r>
    </w:p>
    <w:p w:rsidR="00000000" w:rsidDel="00000000" w:rsidP="00000000" w:rsidRDefault="00000000" w:rsidRPr="00000000" w14:paraId="00000041">
      <w:pPr>
        <w:numPr>
          <w:ilvl w:val="0"/>
          <w:numId w:val="1"/>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operacionalicen principios de gobernanza y explicabilidad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combinación de integración sistémica (Clúster 0), modelos predictivos maduros (Clúster 1), imagenología consolidada (Clúster 3) y énfasis creciente en privacidad y ética (Clúster 4) indica que la IA en investigación clínica se encuentra en una </w:t>
      </w:r>
      <w:r w:rsidDel="00000000" w:rsidR="00000000" w:rsidRPr="00000000">
        <w:rPr>
          <w:rFonts w:ascii="Times New Roman" w:cs="Times New Roman" w:eastAsia="Times New Roman" w:hAnsi="Times New Roman"/>
          <w:b w:val="1"/>
          <w:bCs w:val="1"/>
          <w:rtl w:val="0"/>
        </w:rPr>
        <w:t xml:space="preserve">fase de maduración</w:t>
      </w:r>
      <w:r w:rsidDel="00000000" w:rsidR="00000000" w:rsidRPr="00000000">
        <w:rPr>
          <w:rFonts w:ascii="Times New Roman" w:cs="Times New Roman" w:eastAsia="Times New Roman" w:hAnsi="Times New Roman"/>
          <w:rtl w:val="0"/>
        </w:rPr>
        <w:t xml:space="preserve">. En ella, el foco ya no está únicamente en probar que la IA puede alcanzar o superar el desempeño humano en tareas específicas, sino en </w:t>
      </w:r>
      <w:r w:rsidDel="00000000" w:rsidR="00000000" w:rsidRPr="00000000">
        <w:rPr>
          <w:rFonts w:ascii="Times New Roman" w:cs="Times New Roman" w:eastAsia="Times New Roman" w:hAnsi="Times New Roman"/>
          <w:b w:val="1"/>
          <w:bCs w:val="1"/>
          <w:rtl w:val="0"/>
        </w:rPr>
        <w:t xml:space="preserve">desplegarla de forma segura, regulada y sostenible</w:t>
      </w:r>
      <w:r w:rsidDel="00000000" w:rsidR="00000000" w:rsidRPr="00000000">
        <w:rPr>
          <w:rFonts w:ascii="Times New Roman" w:cs="Times New Roman" w:eastAsia="Times New Roman" w:hAnsi="Times New Roman"/>
          <w:rtl w:val="0"/>
        </w:rPr>
        <w:t xml:space="preserve"> dentro de entornos clínicos reales. La emergencia de aplicaciones basadas en NLP y LLMs (Clúster 8) refuerza esta lectura: el campo se expande hacia nuevas modalidades de interacción con la información clínica, a la vez que se intensifican las preocupaciones por el uso secundario de datos sensibles y la supervisión del comportamiento de los modelos.</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obstante, esta scoping review presenta </w:t>
      </w:r>
      <w:r w:rsidDel="00000000" w:rsidR="00000000" w:rsidRPr="00000000">
        <w:rPr>
          <w:rFonts w:ascii="Times New Roman" w:cs="Times New Roman" w:eastAsia="Times New Roman" w:hAnsi="Times New Roman"/>
          <w:b w:val="1"/>
          <w:bCs w:val="1"/>
          <w:rtl w:val="0"/>
        </w:rPr>
        <w:t xml:space="preserve">limitaciones inherentes a su diseño computacional</w:t>
      </w:r>
      <w:r w:rsidDel="00000000" w:rsidR="00000000" w:rsidRPr="00000000">
        <w:rPr>
          <w:rFonts w:ascii="Times New Roman" w:cs="Times New Roman" w:eastAsia="Times New Roman" w:hAnsi="Times New Roman"/>
          <w:rtl w:val="0"/>
        </w:rPr>
        <w:t xml:space="preserve">. En primer lugar, al tratarse de una revisión de mapeo asistida por algoritmos de clustering, </w:t>
      </w:r>
      <w:r w:rsidDel="00000000" w:rsidR="00000000" w:rsidRPr="00000000">
        <w:rPr>
          <w:rFonts w:ascii="Times New Roman" w:cs="Times New Roman" w:eastAsia="Times New Roman" w:hAnsi="Times New Roman"/>
          <w:b w:val="1"/>
          <w:bCs w:val="1"/>
          <w:rtl w:val="0"/>
        </w:rPr>
        <w:t xml:space="preserve">no se evaluó la calidad metodológica individual ni el riesgo de sesgo</w:t>
      </w:r>
      <w:r w:rsidDel="00000000" w:rsidR="00000000" w:rsidRPr="00000000">
        <w:rPr>
          <w:rFonts w:ascii="Times New Roman" w:cs="Times New Roman" w:eastAsia="Times New Roman" w:hAnsi="Times New Roman"/>
          <w:rtl w:val="0"/>
        </w:rPr>
        <w:t xml:space="preserve"> de los estudios incluidos, a diferencia de lo que ocurre en revisiones sistemáticas clásicas. En consecuencia, los clústeres identificados describen patrones temáticos y tendencias de volumen, pero no permiten extraer conclusiones sobre la solidez de la evidencia en cada subcampo. En segundo lugar, el corpus puede estar sujeto a </w:t>
      </w:r>
      <w:r w:rsidDel="00000000" w:rsidR="00000000" w:rsidRPr="00000000">
        <w:rPr>
          <w:rFonts w:ascii="Times New Roman" w:cs="Times New Roman" w:eastAsia="Times New Roman" w:hAnsi="Times New Roman"/>
          <w:b w:val="1"/>
          <w:bCs w:val="1"/>
          <w:rtl w:val="0"/>
        </w:rPr>
        <w:t xml:space="preserve">sesgos de idioma</w:t>
      </w:r>
      <w:r w:rsidDel="00000000" w:rsidR="00000000" w:rsidRPr="00000000">
        <w:rPr>
          <w:rFonts w:ascii="Times New Roman" w:cs="Times New Roman" w:eastAsia="Times New Roman" w:hAnsi="Times New Roman"/>
          <w:rtl w:val="0"/>
        </w:rPr>
        <w:t xml:space="preserve">, dado que las búsquedas se centraron fundamentalmente en literatura en inglés, así como a sesgos de </w:t>
      </w:r>
      <w:r w:rsidDel="00000000" w:rsidR="00000000" w:rsidRPr="00000000">
        <w:rPr>
          <w:rFonts w:ascii="Times New Roman" w:cs="Times New Roman" w:eastAsia="Times New Roman" w:hAnsi="Times New Roman"/>
          <w:b w:val="1"/>
          <w:bCs w:val="1"/>
          <w:rtl w:val="0"/>
        </w:rPr>
        <w:t xml:space="preserve">cobertura de bases de datos</w:t>
      </w:r>
      <w:r w:rsidDel="00000000" w:rsidR="00000000" w:rsidRPr="00000000">
        <w:rPr>
          <w:rFonts w:ascii="Times New Roman" w:cs="Times New Roman" w:eastAsia="Times New Roman" w:hAnsi="Times New Roman"/>
          <w:rtl w:val="0"/>
        </w:rPr>
        <w:t xml:space="preserve">, que podrían dejar fuera publicaciones relevantes indexadas en otras plataformas.</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las decisiones de </w:t>
      </w:r>
      <w:r w:rsidDel="00000000" w:rsidR="00000000" w:rsidRPr="00000000">
        <w:rPr>
          <w:rFonts w:ascii="Times New Roman" w:cs="Times New Roman" w:eastAsia="Times New Roman" w:hAnsi="Times New Roman"/>
          <w:b w:val="1"/>
          <w:bCs w:val="1"/>
          <w:rtl w:val="0"/>
        </w:rPr>
        <w:t xml:space="preserve">preprocesamiento de texto y parametrización del clustering</w:t>
      </w:r>
      <w:r w:rsidDel="00000000" w:rsidR="00000000" w:rsidRPr="00000000">
        <w:rPr>
          <w:rFonts w:ascii="Times New Roman" w:cs="Times New Roman" w:eastAsia="Times New Roman" w:hAnsi="Times New Roman"/>
          <w:rtl w:val="0"/>
        </w:rPr>
        <w:t xml:space="preserve"> (por ejemplo, la selección de k, el conjunto de stopwords o la estrategia de lematización) condicionan la forma en que se agrupan los documentos. Aunque se utilizaron el Método del Codo y el Coeficiente de Silueta para justificar la elección de k, otras configuraciones podrían haber generado particiones alternativas del mismo corpus. Finalmente, la interpretación de los clústeres se basó en la inspección de términos de alto peso TF–IDF y de muestras de documentos representativos, lo que introduce un componente inevitable de </w:t>
      </w:r>
      <w:r w:rsidDel="00000000" w:rsidR="00000000" w:rsidRPr="00000000">
        <w:rPr>
          <w:rFonts w:ascii="Times New Roman" w:cs="Times New Roman" w:eastAsia="Times New Roman" w:hAnsi="Times New Roman"/>
          <w:b w:val="1"/>
          <w:bCs w:val="1"/>
          <w:rtl w:val="0"/>
        </w:rPr>
        <w:t xml:space="preserve">juicio experto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 a estas limitaciones, los hallazgos de esta scoping review ofrecen </w:t>
      </w:r>
      <w:r w:rsidDel="00000000" w:rsidR="00000000" w:rsidRPr="00000000">
        <w:rPr>
          <w:rFonts w:ascii="Times New Roman" w:cs="Times New Roman" w:eastAsia="Times New Roman" w:hAnsi="Times New Roman"/>
          <w:b w:val="1"/>
          <w:bCs w:val="1"/>
          <w:rtl w:val="0"/>
        </w:rPr>
        <w:t xml:space="preserve">insumos valiosos para futuras investigaciones</w:t>
      </w:r>
      <w:r w:rsidDel="00000000" w:rsidR="00000000" w:rsidRPr="00000000">
        <w:rPr>
          <w:rFonts w:ascii="Times New Roman" w:cs="Times New Roman" w:eastAsia="Times New Roman" w:hAnsi="Times New Roman"/>
          <w:rtl w:val="0"/>
        </w:rPr>
        <w:t xml:space="preserve">. En particular, sugieren que revisiones sistemáticas de alta calidad podrían focalizarse en subcampos específicos identificados como relevantes, tales como: la </w:t>
      </w:r>
      <w:r w:rsidDel="00000000" w:rsidR="00000000" w:rsidRPr="00000000">
        <w:rPr>
          <w:rFonts w:ascii="Times New Roman" w:cs="Times New Roman" w:eastAsia="Times New Roman" w:hAnsi="Times New Roman"/>
          <w:b w:val="1"/>
          <w:bCs w:val="1"/>
          <w:rtl w:val="0"/>
        </w:rPr>
        <w:t xml:space="preserve">efectividad y seguridad de sistemas RAG en la práctica clínica</w:t>
      </w:r>
      <w:r w:rsidDel="00000000" w:rsidR="00000000" w:rsidRPr="00000000">
        <w:rPr>
          <w:rFonts w:ascii="Times New Roman" w:cs="Times New Roman" w:eastAsia="Times New Roman" w:hAnsi="Times New Roman"/>
          <w:rtl w:val="0"/>
        </w:rPr>
        <w:t xml:space="preserve">, los </w:t>
      </w:r>
      <w:r w:rsidDel="00000000" w:rsidR="00000000" w:rsidRPr="00000000">
        <w:rPr>
          <w:rFonts w:ascii="Times New Roman" w:cs="Times New Roman" w:eastAsia="Times New Roman" w:hAnsi="Times New Roman"/>
          <w:b w:val="1"/>
          <w:bCs w:val="1"/>
          <w:rtl w:val="0"/>
        </w:rPr>
        <w:t xml:space="preserve">impactos reales del aprendizaje federado en la protección de la privacidad</w:t>
      </w:r>
      <w:r w:rsidDel="00000000" w:rsidR="00000000" w:rsidRPr="00000000">
        <w:rPr>
          <w:rFonts w:ascii="Times New Roman" w:cs="Times New Roman" w:eastAsia="Times New Roman" w:hAnsi="Times New Roman"/>
          <w:rtl w:val="0"/>
        </w:rPr>
        <w:t xml:space="preserve">, la </w:t>
      </w:r>
      <w:r w:rsidDel="00000000" w:rsidR="00000000" w:rsidRPr="00000000">
        <w:rPr>
          <w:rFonts w:ascii="Times New Roman" w:cs="Times New Roman" w:eastAsia="Times New Roman" w:hAnsi="Times New Roman"/>
          <w:b w:val="1"/>
          <w:bCs w:val="1"/>
          <w:rtl w:val="0"/>
        </w:rPr>
        <w:t xml:space="preserve">equidad y no discriminación en modelos de riesgo</w:t>
      </w:r>
      <w:r w:rsidDel="00000000" w:rsidR="00000000" w:rsidRPr="00000000">
        <w:rPr>
          <w:rFonts w:ascii="Times New Roman" w:cs="Times New Roman" w:eastAsia="Times New Roman" w:hAnsi="Times New Roman"/>
          <w:rtl w:val="0"/>
        </w:rPr>
        <w:t xml:space="preserve">, y la </w:t>
      </w:r>
      <w:r w:rsidDel="00000000" w:rsidR="00000000" w:rsidRPr="00000000">
        <w:rPr>
          <w:rFonts w:ascii="Times New Roman" w:cs="Times New Roman" w:eastAsia="Times New Roman" w:hAnsi="Times New Roman"/>
          <w:b w:val="1"/>
          <w:bCs w:val="1"/>
          <w:rtl w:val="0"/>
        </w:rPr>
        <w:t xml:space="preserve">validez externa de LLMs fine-tuned en EHR</w:t>
      </w:r>
      <w:r w:rsidDel="00000000" w:rsidR="00000000" w:rsidRPr="00000000">
        <w:rPr>
          <w:rFonts w:ascii="Times New Roman" w:cs="Times New Roman" w:eastAsia="Times New Roman" w:hAnsi="Times New Roman"/>
          <w:rtl w:val="0"/>
        </w:rPr>
        <w:t xml:space="preserve">. Asimismo, se abre un campo para estudios metodológicos sobre la integración de técnicas de bibliometría, NLP y RAG en la </w:t>
      </w:r>
      <w:r w:rsidDel="00000000" w:rsidR="00000000" w:rsidRPr="00000000">
        <w:rPr>
          <w:rFonts w:ascii="Times New Roman" w:cs="Times New Roman" w:eastAsia="Times New Roman" w:hAnsi="Times New Roman"/>
          <w:b w:val="1"/>
          <w:bCs w:val="1"/>
          <w:rtl w:val="0"/>
        </w:rPr>
        <w:t xml:space="preserve">ingeniería de revisiones vivas</w:t>
      </w:r>
      <w:r w:rsidDel="00000000" w:rsidR="00000000" w:rsidRPr="00000000">
        <w:rPr>
          <w:rFonts w:ascii="Times New Roman" w:cs="Times New Roman" w:eastAsia="Times New Roman" w:hAnsi="Times New Roman"/>
          <w:rtl w:val="0"/>
        </w:rPr>
        <w:t xml:space="preserve">, capaces de actualizarse automáticamente a medida que se publican nuevos estudios.</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dd1ydd721xq" w:id="5"/>
      <w:bookmarkEnd w:id="5"/>
      <w:r w:rsidDel="00000000" w:rsidR="00000000" w:rsidRPr="00000000">
        <w:rPr>
          <w:rFonts w:ascii="Times New Roman" w:cs="Times New Roman" w:eastAsia="Times New Roman" w:hAnsi="Times New Roman"/>
          <w:b w:val="1"/>
          <w:bCs w:val="1"/>
          <w:color w:val="000000"/>
          <w:sz w:val="26"/>
          <w:szCs w:val="26"/>
          <w:rtl w:val="0"/>
        </w:rPr>
        <w:t xml:space="preserve">2.7. Conclusión</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scoping review asistida por minería de texto sobre </w:t>
      </w:r>
      <w:r w:rsidDel="00000000" w:rsidR="00000000" w:rsidRPr="00000000">
        <w:rPr>
          <w:rFonts w:ascii="Times New Roman" w:cs="Times New Roman" w:eastAsia="Times New Roman" w:hAnsi="Times New Roman"/>
          <w:b w:val="1"/>
          <w:bCs w:val="1"/>
          <w:rtl w:val="0"/>
        </w:rPr>
        <w:t xml:space="preserve">8,522 documentos</w:t>
      </w:r>
      <w:r w:rsidDel="00000000" w:rsidR="00000000" w:rsidRPr="00000000">
        <w:rPr>
          <w:rFonts w:ascii="Times New Roman" w:cs="Times New Roman" w:eastAsia="Times New Roman" w:hAnsi="Times New Roman"/>
          <w:rtl w:val="0"/>
        </w:rPr>
        <w:t xml:space="preserve"> publicados entre 2023 y 2025 muestra que la IA aplicada a la investigación clínica ha evolucionado desde un énfasis inicial en la </w:t>
      </w:r>
      <w:r w:rsidDel="00000000" w:rsidR="00000000" w:rsidRPr="00000000">
        <w:rPr>
          <w:rFonts w:ascii="Times New Roman" w:cs="Times New Roman" w:eastAsia="Times New Roman" w:hAnsi="Times New Roman"/>
          <w:b w:val="1"/>
          <w:bCs w:val="1"/>
          <w:rtl w:val="0"/>
        </w:rPr>
        <w:t xml:space="preserve">optimización algorítmica</w:t>
      </w:r>
      <w:r w:rsidDel="00000000" w:rsidR="00000000" w:rsidRPr="00000000">
        <w:rPr>
          <w:rFonts w:ascii="Times New Roman" w:cs="Times New Roman" w:eastAsia="Times New Roman" w:hAnsi="Times New Roman"/>
          <w:rtl w:val="0"/>
        </w:rPr>
        <w:t xml:space="preserve"> hacia una etapa de mayor </w:t>
      </w:r>
      <w:r w:rsidDel="00000000" w:rsidR="00000000" w:rsidRPr="00000000">
        <w:rPr>
          <w:rFonts w:ascii="Times New Roman" w:cs="Times New Roman" w:eastAsia="Times New Roman" w:hAnsi="Times New Roman"/>
          <w:b w:val="1"/>
          <w:bCs w:val="1"/>
          <w:rtl w:val="0"/>
        </w:rPr>
        <w:t xml:space="preserve">complejidad y madurez</w:t>
      </w:r>
      <w:r w:rsidDel="00000000" w:rsidR="00000000" w:rsidRPr="00000000">
        <w:rPr>
          <w:rFonts w:ascii="Times New Roman" w:cs="Times New Roman" w:eastAsia="Times New Roman" w:hAnsi="Times New Roman"/>
          <w:rtl w:val="0"/>
        </w:rPr>
        <w:t xml:space="preserve">, en la que la integración sistémica, la gobernanza de datos y la ética ocupan un lugar central. La coexistencia de clústeres consolidados —como imagenología y modelos predictivos— con el crecimiento marcado de temas de privacidad, seguridad, aprendizaje federado y modelos generativos indica que la comunidad científica es cada vez más consciente de que la adopción de IA en salud requiere tanto excelencia técnica como marcos robustos de implementación responsable.</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mismo tiempo, la emergencia de aplicaciones basadas en </w:t>
      </w:r>
      <w:r w:rsidDel="00000000" w:rsidR="00000000" w:rsidRPr="00000000">
        <w:rPr>
          <w:rFonts w:ascii="Times New Roman" w:cs="Times New Roman" w:eastAsia="Times New Roman" w:hAnsi="Times New Roman"/>
          <w:b w:val="1"/>
          <w:bCs w:val="1"/>
          <w:rtl w:val="0"/>
        </w:rPr>
        <w:t xml:space="preserve">NLP, LLMs y EHR</w:t>
      </w:r>
      <w:r w:rsidDel="00000000" w:rsidR="00000000" w:rsidRPr="00000000">
        <w:rPr>
          <w:rFonts w:ascii="Times New Roman" w:cs="Times New Roman" w:eastAsia="Times New Roman" w:hAnsi="Times New Roman"/>
          <w:rtl w:val="0"/>
        </w:rPr>
        <w:t xml:space="preserve"> sugiere que la próxima frontera de la IA clínica se jugará en el terreno del </w:t>
      </w:r>
      <w:r w:rsidDel="00000000" w:rsidR="00000000" w:rsidRPr="00000000">
        <w:rPr>
          <w:rFonts w:ascii="Times New Roman" w:cs="Times New Roman" w:eastAsia="Times New Roman" w:hAnsi="Times New Roman"/>
          <w:b w:val="1"/>
          <w:bCs w:val="1"/>
          <w:rtl w:val="0"/>
        </w:rPr>
        <w:t xml:space="preserve">texto y la narrativa clínica</w:t>
      </w:r>
      <w:r w:rsidDel="00000000" w:rsidR="00000000" w:rsidRPr="00000000">
        <w:rPr>
          <w:rFonts w:ascii="Times New Roman" w:cs="Times New Roman" w:eastAsia="Times New Roman" w:hAnsi="Times New Roman"/>
          <w:rtl w:val="0"/>
        </w:rPr>
        <w:t xml:space="preserve">, donde la capacidad de interpretar, resumir y generar información debe equilibrarse con la obligación de proteger la confidencialidad y evitar alucinaciones peligrosas. En este escenario, la propia magnitud de la producción científica hace </w:t>
      </w:r>
      <w:r w:rsidDel="00000000" w:rsidR="00000000" w:rsidRPr="00000000">
        <w:rPr>
          <w:rFonts w:ascii="Times New Roman" w:cs="Times New Roman" w:eastAsia="Times New Roman" w:hAnsi="Times New Roman"/>
          <w:b w:val="1"/>
          <w:bCs w:val="1"/>
          <w:rtl w:val="0"/>
        </w:rPr>
        <w:t xml:space="preserve">imprescindible</w:t>
      </w:r>
      <w:r w:rsidDel="00000000" w:rsidR="00000000" w:rsidRPr="00000000">
        <w:rPr>
          <w:rFonts w:ascii="Times New Roman" w:cs="Times New Roman" w:eastAsia="Times New Roman" w:hAnsi="Times New Roman"/>
          <w:rtl w:val="0"/>
        </w:rPr>
        <w:t xml:space="preserve"> el uso de herramientas avanzadas de IA —incluyendo técnicas de clustering, minería de texto y, especialmente, **sistemas de </w:t>
      </w:r>
      <w:r w:rsidDel="00000000" w:rsidR="00000000" w:rsidRPr="00000000">
        <w:rPr>
          <w:rFonts w:ascii="Times New Roman" w:cs="Times New Roman" w:eastAsia="Times New Roman" w:hAnsi="Times New Roman"/>
          <w:i w:val="1"/>
          <w:iCs w:val="1"/>
          <w:rtl w:val="0"/>
        </w:rPr>
        <w:t xml:space="preserve">Retrieval-Augmented Generation</w:t>
      </w:r>
      <w:r w:rsidDel="00000000" w:rsidR="00000000" w:rsidRPr="00000000">
        <w:rPr>
          <w:rFonts w:ascii="Times New Roman" w:cs="Times New Roman" w:eastAsia="Times New Roman" w:hAnsi="Times New Roman"/>
          <w:rtl w:val="0"/>
        </w:rPr>
        <w:t xml:space="preserve">— para revisar, sintetizar y mantener al día la evidencia que la misma IA contribuye a generar.</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siguiente paso lógico para el campo consiste en avanzar hacia la </w:t>
      </w:r>
      <w:r w:rsidDel="00000000" w:rsidR="00000000" w:rsidRPr="00000000">
        <w:rPr>
          <w:rFonts w:ascii="Times New Roman" w:cs="Times New Roman" w:eastAsia="Times New Roman" w:hAnsi="Times New Roman"/>
          <w:b w:val="1"/>
          <w:bCs w:val="1"/>
          <w:rtl w:val="0"/>
        </w:rPr>
        <w:t xml:space="preserve">implementación responsable de sistemas RAG clínicos</w:t>
      </w:r>
      <w:r w:rsidDel="00000000" w:rsidR="00000000" w:rsidRPr="00000000">
        <w:rPr>
          <w:rFonts w:ascii="Times New Roman" w:cs="Times New Roman" w:eastAsia="Times New Roman" w:hAnsi="Times New Roman"/>
          <w:rtl w:val="0"/>
        </w:rPr>
        <w:t xml:space="preserve">, diseñados bajo principios de privacidad, transparencia, auditabilidad y alineación con marcos regulatorios y éticos. Estos sistemas pueden convertirse en aliados estratégicos de investigadores, clínicos y comités de ética, al facilitar el acceso a evidencia relevante, reducir la carga cognitiva asociada a la infoxicación científica y ofrecer un soporte informacional más seguro y trazable. De este modo, la IA no solo se emplearía como objeto de estudio en la investigación clínica, sino también como </w:t>
      </w:r>
      <w:r w:rsidDel="00000000" w:rsidR="00000000" w:rsidRPr="00000000">
        <w:rPr>
          <w:rFonts w:ascii="Times New Roman" w:cs="Times New Roman" w:eastAsia="Times New Roman" w:hAnsi="Times New Roman"/>
          <w:b w:val="1"/>
          <w:bCs w:val="1"/>
          <w:rtl w:val="0"/>
        </w:rPr>
        <w:t xml:space="preserve">instrumento crítico para revisar y gobernar la propia ciencia de la inteligencia artificial en salud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