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Adil Paper update: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https://docs.google.com/document/d/1zLKRalSFpcyH26tEsrb3pBZ4At7oJuYedombi8i-lQo/edit?ts=6023f54e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Deep Learning for Political Science: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https://arxiv.org/abs/2005.06540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 machine learning help policymakers detect conflict?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https://focus.barcelonagse.eu/can-machine-learning-help-policymakers-detect-conflict/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UN An Agenda For Peace: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highlight w:val="white"/>
            <w:rtl w:val="0"/>
          </w:rPr>
          <w:t xml:space="preserve">https://digitallibrary.un.org/record/145749?ln=en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International Crisis Group: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https://www.crisisgroup.org/asia/south-asia/bangladesh/political-conflict-extremism-and-criminal-justice-bangladesh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Human Right Watch(Bangladesh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Events of 2018):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https://www.hrw.org/world-report/2019/country-chapters/bangladesh#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fldChar w:fldCharType="begin"/>
        <w:instrText xml:space="preserve"> HYPERLINK "https://acleddata.com/tag/bangladesh/"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1a0dab"/>
            <w:sz w:val="30"/>
            <w:szCs w:val="30"/>
            <w:highlight w:val="white"/>
            <w:u w:val="single"/>
            <w:rtl w:val="0"/>
          </w:rPr>
          <w:t xml:space="preserve">Bangladesh | ACLED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https://data.humdata.org/dataset/acled-data-for-bangladesh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rw.org/world-report/2019/country-chapters/bangladesh#" TargetMode="External"/><Relationship Id="rId10" Type="http://schemas.openxmlformats.org/officeDocument/2006/relationships/hyperlink" Target="https://www.crisisgroup.org/asia/south-asia/bangladesh/political-conflict-extremism-and-criminal-justice-bangladesh" TargetMode="External"/><Relationship Id="rId13" Type="http://schemas.openxmlformats.org/officeDocument/2006/relationships/hyperlink" Target="https://data.humdata.org/dataset/acled-data-for-bangladesh" TargetMode="External"/><Relationship Id="rId12" Type="http://schemas.openxmlformats.org/officeDocument/2006/relationships/hyperlink" Target="https://acleddata.com/tag/banglades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gitallibrary.un.org/record/145749?ln=e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LKRalSFpcyH26tEsrb3pBZ4At7oJuYedombi8i-lQo/edit?ts=6023f54e" TargetMode="External"/><Relationship Id="rId7" Type="http://schemas.openxmlformats.org/officeDocument/2006/relationships/hyperlink" Target="https://arxiv.org/abs/2005.06540" TargetMode="External"/><Relationship Id="rId8" Type="http://schemas.openxmlformats.org/officeDocument/2006/relationships/hyperlink" Target="https://focus.barcelonagse.eu/can-machine-learning-help-policymakers-detect-conflic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