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center"/>
      </w:pPr>
      <w:r>
        <w:rPr>
          <w:rFonts w:ascii="Times New Roman" w:hAnsi="Times New Roman" w:eastAsia="黑体"/>
          <w:b w:val="0"/>
          <w:sz w:val="28"/>
        </w:rPr>
        <w:t>微网与外部电网电力调控策略研究（更新稿）</w:t>
      </w:r>
    </w:p>
    <w:p>
      <w:pPr>
        <w:spacing w:before="0" w:after="0" w:line="300" w:lineRule="auto"/>
        <w:jc w:val="center"/>
      </w:pPr>
      <w:r>
        <w:rPr>
          <w:rFonts w:ascii="Times New Roman" w:hAnsi="Times New Roman" w:eastAsia="黑体"/>
          <w:b w:val="0"/>
          <w:sz w:val="28"/>
        </w:rPr>
        <w:t>摘 要</w:t>
      </w:r>
    </w:p>
    <w:p>
      <w:pPr>
        <w:spacing w:before="0" w:after="0" w:line="300" w:lineRule="auto"/>
        <w:ind w:firstLine="480"/>
      </w:pPr>
      <w:r>
        <w:rPr>
          <w:rFonts w:ascii="Times New Roman" w:hAnsi="Times New Roman" w:eastAsia="宋体"/>
          <w:b w:val="0"/>
          <w:sz w:val="24"/>
        </w:rPr>
        <w:t>本文研究固定/波动电价和逐步更新光伏信息下的微网购电与储能调度。统一十分钟能量平衡模型显式区分常规购电、紧急购电、充放电和弃光，并检查荷电状态、功率和跨日状态。问题一用互斥MILP，另以5 kWh有限网格库存价值DP交叉核验；问题二至问题四使用日期因果预测。问题一购电量59482.699 kWh，费用35126.986元；Q2、Q3、Q4-2、Q4-3全年本地回测费用分别为16206550.45、18242015.85、16989713.48、19577410.54元。所有数字均由当前输入、代码和结果文件生成，不代表官方成绩；表1、表2、表3给出符号、全年结果和敏感性。</w:t>
      </w:r>
    </w:p>
    <w:p>
      <w:pPr>
        <w:spacing w:before="0" w:after="0" w:line="300" w:lineRule="auto"/>
      </w:pPr>
    </w:p>
    <w:p>
      <w:pPr>
        <w:spacing w:before="0" w:after="0" w:line="300" w:lineRule="auto"/>
      </w:pPr>
      <w:r>
        <w:rPr>
          <w:rFonts w:ascii="Times New Roman" w:hAnsi="Times New Roman" w:eastAsia="宋体"/>
          <w:b/>
          <w:sz w:val="24"/>
        </w:rPr>
        <w:t>关键词：</w:t>
      </w:r>
      <w:r>
        <w:rPr>
          <w:rFonts w:ascii="Times New Roman" w:hAnsi="Times New Roman" w:eastAsia="宋体"/>
          <w:b w:val="0"/>
          <w:sz w:val="24"/>
        </w:rPr>
        <w:t>微网；储能调度；混合整数线性规划；库存价值；滚动调整；动态电价</w:t>
      </w:r>
    </w:p>
    <w:p>
      <w:pPr>
        <w:pageBreakBefore/>
        <w:spacing w:before="0" w:after="0" w:line="300" w:lineRule="auto"/>
        <w:jc w:val="center"/>
      </w:pPr>
      <w:r>
        <w:rPr>
          <w:rFonts w:ascii="Times New Roman" w:hAnsi="Times New Roman" w:eastAsia="宋体"/>
          <w:b/>
          <w:sz w:val="32"/>
        </w:rPr>
        <w:t>一、问题与数据</w:t>
      </w:r>
    </w:p>
    <w:p>
      <w:pPr>
        <w:spacing w:before="0" w:after="0" w:line="300" w:lineRule="auto"/>
        <w:ind w:firstLine="480"/>
      </w:pPr>
      <w:r>
        <w:rPr>
          <w:rFonts w:ascii="Times New Roman" w:hAnsi="Times New Roman" w:eastAsia="宋体"/>
          <w:b w:val="0"/>
          <w:sz w:val="24"/>
        </w:rPr>
        <w:t>题面要求在十分钟粒度安排常规购电、紧急购电和储能充放电。附件1给出单日固定价格、负荷和光伏预测；附件2给出全年实际负荷与光伏；附件3给出每日0、6、12、18时的24小时光伏预报；附件4给出波动价格。全年回测只取2025-02-01至2025-12-31的334天，目标日预测只读取严格早于目标日的数据。题面与规则以官方材料[1]为准。</w:t>
      </w:r>
    </w:p>
    <w:p>
      <w:pPr>
        <w:spacing w:before="0" w:after="0" w:line="300" w:lineRule="auto"/>
        <w:ind w:firstLine="480"/>
      </w:pPr>
      <w:r>
        <w:rPr>
          <w:rFonts w:ascii="Times New Roman" w:hAnsi="Times New Roman" w:eastAsia="宋体"/>
          <w:b w:val="0"/>
          <w:sz w:val="24"/>
        </w:rPr>
        <w:t>如图1所示，原始数据统一到十分钟区间。</w:t>
      </w:r>
    </w:p>
    <w:p>
      <w:pPr>
        <w:jc w:val="center"/>
      </w:pPr>
      <w:r>
        <w:drawing>
          <wp:inline xmlns:a="http://schemas.openxmlformats.org/drawingml/2006/main" xmlns:pic="http://schemas.openxmlformats.org/drawingml/2006/picture">
            <wp:extent cx="5303520" cy="2585466"/>
            <wp:docPr id="1" name="Picture 1"/>
            <wp:cNvGraphicFramePr>
              <a:graphicFrameLocks noChangeAspect="1"/>
            </wp:cNvGraphicFramePr>
            <a:graphic>
              <a:graphicData uri="http://schemas.openxmlformats.org/drawingml/2006/picture">
                <pic:pic>
                  <pic:nvPicPr>
                    <pic:cNvPr id="0" name="raw_q1_inputs.png"/>
                    <pic:cNvPicPr/>
                  </pic:nvPicPr>
                  <pic:blipFill>
                    <a:blip r:embed="rId9"/>
                    <a:stretch>
                      <a:fillRect/>
                    </a:stretch>
                  </pic:blipFill>
                  <pic:spPr>
                    <a:xfrm>
                      <a:off x="0" y="0"/>
                      <a:ext cx="5303520" cy="2585466"/>
                    </a:xfrm>
                    <a:prstGeom prst="rect"/>
                  </pic:spPr>
                </pic:pic>
              </a:graphicData>
            </a:graphic>
          </wp:inline>
        </w:drawing>
      </w:r>
    </w:p>
    <w:p>
      <w:pPr>
        <w:jc w:val="center"/>
      </w:pPr>
      <w:r>
        <w:t>图1  问题一输入序列</w:t>
      </w:r>
    </w:p>
    <w:p>
      <w:pPr>
        <w:spacing w:before="0" w:after="0" w:line="300" w:lineRule="auto"/>
        <w:ind w:firstLine="480"/>
      </w:pPr>
      <w:r>
        <w:rPr>
          <w:rFonts w:ascii="Times New Roman" w:hAnsi="Times New Roman" w:eastAsia="宋体"/>
          <w:b w:val="0"/>
          <w:sz w:val="24"/>
        </w:rPr>
        <w:t>图1用于核对十分钟采样、功率单位和日内光伏形状。</w:t>
      </w:r>
    </w:p>
    <w:p>
      <w:pPr>
        <w:pageBreakBefore/>
        <w:spacing w:before="0" w:after="0" w:line="300" w:lineRule="auto"/>
        <w:jc w:val="center"/>
      </w:pPr>
      <w:r>
        <w:rPr>
          <w:rFonts w:ascii="Times New Roman" w:hAnsi="Times New Roman" w:eastAsia="宋体"/>
          <w:b/>
          <w:sz w:val="32"/>
        </w:rPr>
        <w:t>二、统一物理模型</w:t>
      </w:r>
    </w:p>
    <w:p>
      <w:pPr>
        <w:spacing w:before="0" w:after="0" w:line="300" w:lineRule="auto"/>
        <w:ind w:firstLine="480"/>
      </w:pPr>
      <w:r>
        <w:rPr>
          <w:rFonts w:ascii="Times New Roman" w:hAnsi="Times New Roman" w:eastAsia="宋体"/>
          <w:b w:val="0"/>
          <w:sz w:val="24"/>
        </w:rPr>
        <w:t>令q_t、e_t、c_t、d_t、u_t分别表示常规购电、紧急购电、交流侧充电、交流侧放电和未利用供能，单位为kWh；L_t、G_t为功率，p_t为元/kWh，Δt=1/6 h。采用充电入库ηc_t、放电出库d_t/η，η=0.9。</w:t>
      </w:r>
    </w:p>
    <w:p>
      <w:pPr>
        <w:spacing w:before="0" w:after="0" w:line="300" w:lineRule="auto"/>
        <w:jc w:val="center"/>
      </w:pPr>
      <m:oMathPara>
        <m:oMath>
          <m:sSub>
            <m:e>
              <m:r>
                <m:t>q</m:t>
              </m:r>
            </m:e>
            <m:sub>
              <m:r>
                <m:t>t</m:t>
              </m:r>
            </m:sub>
          </m:sSub>
          <m:sSub>
            <m:e>
              <m:r>
                <m:t>+e</m:t>
              </m:r>
            </m:e>
            <m:sub>
              <m:r>
                <m:t>t</m:t>
              </m:r>
            </m:sub>
          </m:sSub>
          <m:sSub>
            <m:e>
              <m:r>
                <m:t>+d</m:t>
              </m:r>
            </m:e>
            <m:sub>
              <m:r>
                <m:t>t</m:t>
              </m:r>
            </m:sub>
          </m:sSub>
          <m:sSub>
            <m:e>
              <m:r>
                <m:t>+G</m:t>
              </m:r>
            </m:e>
            <m:sub>
              <m:r>
                <m:t>t</m:t>
              </m:r>
            </m:sub>
          </m:sSub>
          <m:r>
            <m:t>Δ</m:t>
          </m:r>
          <m:sSub>
            <m:e>
              <m:r>
                <m:t xml:space="preserve"> t=L</m:t>
              </m:r>
            </m:e>
            <m:sub>
              <m:r>
                <m:t>t</m:t>
              </m:r>
            </m:sub>
          </m:sSub>
          <m:r>
            <m:t>Δ</m:t>
          </m:r>
          <m:sSub>
            <m:e>
              <m:r>
                <m:t xml:space="preserve"> t+c</m:t>
              </m:r>
            </m:e>
            <m:sub>
              <m:r>
                <m:t>t</m:t>
              </m:r>
            </m:sub>
          </m:sSub>
          <m:sSub>
            <m:e>
              <m:r>
                <m:t>+u</m:t>
              </m:r>
            </m:e>
            <m:sub>
              <m:r>
                <m:t>t</m:t>
              </m:r>
            </m:sub>
          </m:sSub>
        </m:oMath>
      </m:oMathPara>
    </w:p>
    <w:p>
      <w:pPr>
        <w:spacing w:before="0" w:after="0" w:line="300" w:lineRule="auto"/>
        <w:jc w:val="center"/>
      </w:pPr>
      <m:oMathPara>
        <m:oMath>
          <m:sSub>
            <m:e>
              <m:r>
                <m:t>S</m:t>
              </m:r>
            </m:e>
            <m:sub>
              <m:r>
                <m:t>t+1</m:t>
              </m:r>
            </m:sub>
          </m:sSub>
          <m:sSub>
            <m:e>
              <m:r>
                <m:t>=S</m:t>
              </m:r>
            </m:e>
            <m:sub>
              <m:r>
                <m:t>t</m:t>
              </m:r>
            </m:sub>
          </m:sSub>
          <m:r>
            <m:t>+</m:t>
          </m:r>
          <m:r>
            <m:t>η</m:t>
          </m:r>
          <m:sSub>
            <m:e>
              <m:r>
                <m:t xml:space="preserve"> c</m:t>
              </m:r>
            </m:e>
            <m:sub>
              <m:r>
                <m:t>t</m:t>
              </m:r>
            </m:sub>
          </m:sSub>
          <m:sSub>
            <m:e>
              <m:r>
                <m:t>-d</m:t>
              </m:r>
            </m:e>
            <m:sub>
              <m:r>
                <m:t>t</m:t>
              </m:r>
            </m:sub>
          </m:sSub>
          <m:r>
            <m:t>/</m:t>
          </m:r>
          <m:r>
            <m:t>η</m:t>
          </m:r>
        </m:oMath>
      </m:oMathPara>
    </w:p>
    <w:p>
      <w:pPr>
        <w:spacing w:before="0" w:after="0" w:line="300" w:lineRule="auto"/>
        <w:jc w:val="center"/>
      </w:pPr>
      <m:oMathPara>
        <m:oMath>
          <m:r>
            <m:t>0</m:t>
          </m:r>
          <m:r>
            <m:t>≤</m:t>
          </m:r>
          <m:sSub>
            <m:e>
              <m:r>
                <m:t xml:space="preserve"> c</m:t>
              </m:r>
            </m:e>
            <m:sub>
              <m:r>
                <m:t>t</m:t>
              </m:r>
            </m:sub>
          </m:sSub>
          <m:sSub>
            <m:e>
              <m:r>
                <m:t>,d</m:t>
              </m:r>
            </m:e>
            <m:sub>
              <m:r>
                <m:t>t</m:t>
              </m:r>
            </m:sub>
          </m:sSub>
          <m:r>
            <m:t>≤</m:t>
          </m:r>
          <m:r>
            <m:t xml:space="preserve"> 5000</m:t>
          </m:r>
          <m:r>
            <m:t>Δ</m:t>
          </m:r>
          <m:r>
            <m:t xml:space="preserve"> t,</m:t>
          </m:r>
          <m:r>
            <m:t xml:space="preserve">  </m:t>
          </m:r>
          <m:r>
            <m:t>1200</m:t>
          </m:r>
          <m:r>
            <m:t>≤</m:t>
          </m:r>
          <m:sSub>
            <m:e>
              <m:r>
                <m:t xml:space="preserve"> S</m:t>
              </m:r>
            </m:e>
            <m:sub>
              <m:r>
                <m:t>t</m:t>
              </m:r>
            </m:sub>
          </m:sSub>
          <m:r>
            <m:t>≤</m:t>
          </m:r>
          <m:r>
            <m:t>10800,</m:t>
          </m:r>
          <m:r>
            <m:t xml:space="preserve">  </m:t>
          </m:r>
          <m:sSub>
            <m:e>
              <m:r>
                <m:t xml:space="preserve"> S</m:t>
              </m:r>
            </m:e>
            <m:sub>
              <m:r>
                <m:t>0</m:t>
              </m:r>
            </m:sub>
          </m:sSub>
          <m:r>
            <m:t>=6000</m:t>
          </m:r>
        </m:oMath>
      </m:oMathPara>
    </w:p>
    <w:p>
      <w:pPr>
        <w:spacing w:before="0" w:after="0" w:line="300" w:lineRule="auto"/>
        <w:ind w:firstLine="480"/>
      </w:pPr>
      <w:r>
        <w:rPr>
          <w:rFonts w:ascii="Times New Roman" w:hAnsi="Times New Roman" w:eastAsia="宋体"/>
          <w:b w:val="0"/>
          <w:sz w:val="24"/>
        </w:rPr>
        <w:t>问题一补充S_T=S_0和互斥二元变量；Q2至Q4跨日传递上一日末SOC。每次求解后执行非负性、功率、SOC和初始状态审计。模型结构参考微网优化文献[2]和Pyomo建模文献[3]。如图2所示，SOC轨迹接受边界审计。</w:t>
      </w:r>
    </w:p>
    <w:p>
      <w:pPr>
        <w:spacing w:before="0" w:after="0" w:line="300" w:lineRule="auto"/>
        <w:ind w:firstLine="480"/>
      </w:pPr>
      <w:r>
        <w:rPr>
          <w:rFonts w:ascii="Times New Roman" w:hAnsi="Times New Roman" w:eastAsia="宋体"/>
          <w:b w:val="0"/>
          <w:sz w:val="24"/>
        </w:rPr>
        <w:t>统一符号见表1。</w:t>
      </w:r>
    </w:p>
    <w:p>
      <w:r>
        <w:t>表1  统一符号与单位</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符号</w:t>
            </w:r>
          </w:p>
        </w:tc>
        <w:tc>
          <w:tcPr>
            <w:tcW w:type="dxa" w:w="2767"/>
            <w:tcBorders>
              <w:bottom w:val="single" w:sz="4" w:space="0" w:color="000000"/>
            </w:tcBorders>
          </w:tcPr>
          <w:p>
            <w:pPr>
              <w:jc w:val="center"/>
            </w:pPr>
            <w:r/>
            <w:r>
              <w:rPr>
                <w:rFonts w:ascii="Times New Roman" w:hAnsi="Times New Roman" w:eastAsia="宋体"/>
                <w:b/>
                <w:sz w:val="24"/>
              </w:rPr>
              <w:t>含义</w:t>
            </w:r>
          </w:p>
        </w:tc>
        <w:tc>
          <w:tcPr>
            <w:tcW w:type="dxa" w:w="2767"/>
            <w:tcBorders>
              <w:bottom w:val="single" w:sz="4" w:space="0" w:color="000000"/>
            </w:tcBorders>
          </w:tcPr>
          <w:p>
            <w:pPr>
              <w:jc w:val="center"/>
            </w:pPr>
            <w:r/>
            <w:r>
              <w:rPr>
                <w:rFonts w:ascii="Times New Roman" w:hAnsi="Times New Roman" w:eastAsia="宋体"/>
                <w:b/>
                <w:sz w:val="24"/>
              </w:rPr>
              <w:t>单位</w:t>
            </w:r>
          </w:p>
        </w:tc>
      </w:tr>
      <w:tr>
        <w:tc>
          <w:tcPr>
            <w:tcW w:type="dxa" w:w="2767"/>
          </w:tcPr>
          <w:p>
            <w:pPr>
              <w:jc w:val="center"/>
            </w:pPr>
            <w:r/>
            <w:r>
              <w:rPr>
                <w:rFonts w:ascii="Times New Roman" w:hAnsi="Times New Roman" w:eastAsia="宋体"/>
                <w:b w:val="0"/>
                <w:sz w:val="24"/>
              </w:rPr>
              <w:t>q_t,e_t</w:t>
            </w:r>
          </w:p>
        </w:tc>
        <w:tc>
          <w:tcPr>
            <w:tcW w:type="dxa" w:w="2767"/>
          </w:tcPr>
          <w:p>
            <w:pPr>
              <w:jc w:val="center"/>
            </w:pPr>
            <w:r/>
            <w:r>
              <w:rPr>
                <w:rFonts w:ascii="Times New Roman" w:hAnsi="Times New Roman" w:eastAsia="宋体"/>
                <w:b w:val="0"/>
                <w:sz w:val="24"/>
              </w:rPr>
              <w:t>常规/紧急购电量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c_t,d_t</w:t>
            </w:r>
          </w:p>
        </w:tc>
        <w:tc>
          <w:tcPr>
            <w:tcW w:type="dxa" w:w="2767"/>
          </w:tcPr>
          <w:p>
            <w:pPr>
              <w:jc w:val="center"/>
            </w:pPr>
            <w:r/>
            <w:r>
              <w:rPr>
                <w:rFonts w:ascii="Times New Roman" w:hAnsi="Times New Roman" w:eastAsia="宋体"/>
                <w:b w:val="0"/>
                <w:sz w:val="24"/>
              </w:rPr>
              <w:t>交流侧充电/放电量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S_t</w:t>
            </w:r>
          </w:p>
        </w:tc>
        <w:tc>
          <w:tcPr>
            <w:tcW w:type="dxa" w:w="2767"/>
          </w:tcPr>
          <w:p>
            <w:pPr>
              <w:jc w:val="center"/>
            </w:pPr>
            <w:r/>
            <w:r>
              <w:rPr>
                <w:rFonts w:ascii="Times New Roman" w:hAnsi="Times New Roman" w:eastAsia="宋体"/>
                <w:b w:val="0"/>
                <w:sz w:val="24"/>
              </w:rPr>
              <w:t>内部储能量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L_t,G_t</w:t>
            </w:r>
          </w:p>
        </w:tc>
        <w:tc>
          <w:tcPr>
            <w:tcW w:type="dxa" w:w="2767"/>
          </w:tcPr>
          <w:p>
            <w:pPr>
              <w:jc w:val="center"/>
            </w:pPr>
            <w:r/>
            <w:r>
              <w:rPr>
                <w:rFonts w:ascii="Times New Roman" w:hAnsi="Times New Roman" w:eastAsia="宋体"/>
                <w:b w:val="0"/>
                <w:sz w:val="24"/>
              </w:rPr>
              <w:t>负荷/光伏功率</w:t>
            </w:r>
          </w:p>
        </w:tc>
        <w:tc>
          <w:tcPr>
            <w:tcW w:type="dxa" w:w="2767"/>
          </w:tcPr>
          <w:p>
            <w:pPr>
              <w:jc w:val="center"/>
            </w:pPr>
            <w:r/>
            <w:r>
              <w:rPr>
                <w:rFonts w:ascii="Times New Roman" w:hAnsi="Times New Roman" w:eastAsia="宋体"/>
                <w:b w:val="0"/>
                <w:sz w:val="24"/>
              </w:rPr>
              <w:t>kW</w:t>
            </w:r>
          </w:p>
        </w:tc>
      </w:tr>
      <w:tr>
        <w:tc>
          <w:tcPr>
            <w:tcW w:type="dxa" w:w="2767"/>
          </w:tcPr>
          <w:p>
            <w:pPr>
              <w:jc w:val="center"/>
            </w:pPr>
            <w:r/>
            <w:r>
              <w:rPr>
                <w:rFonts w:ascii="Times New Roman" w:hAnsi="Times New Roman" w:eastAsia="宋体"/>
                <w:b w:val="0"/>
                <w:sz w:val="24"/>
              </w:rPr>
              <w:t>p_t</w:t>
            </w:r>
          </w:p>
        </w:tc>
        <w:tc>
          <w:tcPr>
            <w:tcW w:type="dxa" w:w="2767"/>
          </w:tcPr>
          <w:p>
            <w:pPr>
              <w:jc w:val="center"/>
            </w:pPr>
            <w:r/>
            <w:r>
              <w:rPr>
                <w:rFonts w:ascii="Times New Roman" w:hAnsi="Times New Roman" w:eastAsia="宋体"/>
                <w:b w:val="0"/>
                <w:sz w:val="24"/>
              </w:rPr>
              <w:t>交易价格</w:t>
            </w:r>
          </w:p>
        </w:tc>
        <w:tc>
          <w:tcPr>
            <w:tcW w:type="dxa" w:w="2767"/>
          </w:tcPr>
          <w:p>
            <w:pPr>
              <w:jc w:val="center"/>
            </w:pPr>
            <w:r/>
            <w:r>
              <w:rPr>
                <w:rFonts w:ascii="Times New Roman" w:hAnsi="Times New Roman" w:eastAsia="宋体"/>
                <w:b w:val="0"/>
                <w:sz w:val="24"/>
              </w:rPr>
              <w:t>元/kWh</w:t>
            </w:r>
          </w:p>
        </w:tc>
      </w:tr>
    </w:tbl>
    <w:p>
      <w:pPr>
        <w:jc w:val="center"/>
      </w:pPr>
      <w:r>
        <w:drawing>
          <wp:inline xmlns:a="http://schemas.openxmlformats.org/drawingml/2006/main" xmlns:pic="http://schemas.openxmlformats.org/drawingml/2006/picture">
            <wp:extent cx="5303520" cy="2583998"/>
            <wp:docPr id="2" name="Picture 2"/>
            <wp:cNvGraphicFramePr>
              <a:graphicFrameLocks noChangeAspect="1"/>
            </wp:cNvGraphicFramePr>
            <a:graphic>
              <a:graphicData uri="http://schemas.openxmlformats.org/drawingml/2006/picture">
                <pic:pic>
                  <pic:nvPicPr>
                    <pic:cNvPr id="0" name="process_q1_soc.png"/>
                    <pic:cNvPicPr/>
                  </pic:nvPicPr>
                  <pic:blipFill>
                    <a:blip r:embed="rId10"/>
                    <a:stretch>
                      <a:fillRect/>
                    </a:stretch>
                  </pic:blipFill>
                  <pic:spPr>
                    <a:xfrm>
                      <a:off x="0" y="0"/>
                      <a:ext cx="5303520" cy="2583998"/>
                    </a:xfrm>
                    <a:prstGeom prst="rect"/>
                  </pic:spPr>
                </pic:pic>
              </a:graphicData>
            </a:graphic>
          </wp:inline>
        </w:drawing>
      </w:r>
    </w:p>
    <w:p>
      <w:pPr>
        <w:jc w:val="center"/>
      </w:pPr>
      <w:r>
        <w:t>图2  问题一充放电与SOC</w:t>
      </w:r>
    </w:p>
    <w:p>
      <w:pPr>
        <w:spacing w:before="0" w:after="0" w:line="300" w:lineRule="auto"/>
        <w:ind w:firstLine="480"/>
      </w:pPr>
      <w:r>
        <w:rPr>
          <w:rFonts w:ascii="Times New Roman" w:hAnsi="Times New Roman" w:eastAsia="宋体"/>
          <w:b w:val="0"/>
          <w:sz w:val="24"/>
        </w:rPr>
        <w:t>图2显示互斥充放电与SOC边界。</w:t>
      </w:r>
    </w:p>
    <w:p>
      <w:pPr>
        <w:pageBreakBefore/>
        <w:spacing w:before="0" w:after="0" w:line="300" w:lineRule="auto"/>
        <w:jc w:val="center"/>
      </w:pPr>
      <w:r>
        <w:rPr>
          <w:rFonts w:ascii="Times New Roman" w:hAnsi="Times New Roman" w:eastAsia="宋体"/>
          <w:b/>
          <w:sz w:val="32"/>
        </w:rPr>
        <w:t>三、问题一与库存价值交叉核验</w:t>
      </w:r>
    </w:p>
    <w:p>
      <w:pPr>
        <w:spacing w:before="0" w:after="0" w:line="300" w:lineRule="auto"/>
        <w:ind w:firstLine="480"/>
      </w:pPr>
      <w:r>
        <w:rPr>
          <w:rFonts w:ascii="Times New Roman" w:hAnsi="Times New Roman" w:eastAsia="宋体"/>
          <w:b w:val="0"/>
          <w:sz w:val="24"/>
        </w:rPr>
        <w:t>问题一MILP得到全天购电量59482.699 kWh、费用35126.986元，SOC范围为1200至10800 kWh，日末为6000 kWh。5 kWh状态网格DP的值为35188.908元，相对MILP差异0.1763%，该差异是离散网格近似误差。如图3所示，购电量随价格和净负荷变化。</w:t>
      </w:r>
    </w:p>
    <w:p>
      <w:pPr>
        <w:spacing w:before="0" w:after="0" w:line="300" w:lineRule="auto"/>
        <w:jc w:val="center"/>
      </w:pPr>
      <m:oMathPara>
        <m:oMath>
          <m:sSub>
            <m:e>
              <m:r>
                <m:t>F</m:t>
              </m:r>
            </m:e>
            <m:sub>
              <m:r>
                <m:t>t</m:t>
              </m:r>
            </m:sub>
          </m:sSub>
          <m:r>
            <m:t>(S)=</m:t>
          </m:r>
          <m:sSub>
            <m:e>
              <m:r>
                <m:t>min</m:t>
              </m:r>
            </m:e>
            <m:sub>
              <m:r>
                <m:t>S</m:t>
              </m:r>
              <m:r>
                <m:t>→</m:t>
              </m:r>
              <m:r>
                <m:t xml:space="preserve"> S1</m:t>
              </m:r>
            </m:sub>
          </m:sSub>
          <m:r>
            <m:t>{</m:t>
          </m:r>
          <m:sSub>
            <m:e>
              <m:r>
                <m:t>p</m:t>
              </m:r>
            </m:e>
            <m:sub>
              <m:r>
                <m:t>t</m:t>
              </m:r>
            </m:sub>
          </m:sSub>
          <m:sSub>
            <m:e>
              <m:r>
                <m:t>(N</m:t>
              </m:r>
            </m:e>
            <m:sub>
              <m:r>
                <m:t>t</m:t>
              </m:r>
            </m:sub>
          </m:sSub>
          <m:sSub>
            <m:e>
              <m:r>
                <m:t>+c</m:t>
              </m:r>
            </m:e>
            <m:sub>
              <m:r>
                <m:t>t</m:t>
              </m:r>
            </m:sub>
          </m:sSub>
          <m:sSub>
            <m:e>
              <m:r>
                <m:t>-d</m:t>
              </m:r>
            </m:e>
            <m:sub>
              <m:r>
                <m:t>t</m:t>
              </m:r>
            </m:sub>
          </m:sSub>
          <m:sSup>
            <m:e>
              <m:r>
                <m:t>)</m:t>
              </m:r>
            </m:e>
            <m:sup>
              <m:r>
                <m:t>+</m:t>
              </m:r>
            </m:sup>
          </m:sSup>
          <m:sSub>
            <m:e>
              <m:r>
                <m:t>+F</m:t>
              </m:r>
            </m:e>
            <m:sub>
              <m:r>
                <m:t>t+1</m:t>
              </m:r>
            </m:sub>
          </m:sSub>
          <m:r>
            <m:t>(S1)</m:t>
          </m:r>
          <m:r>
            <m:t>}</m:t>
          </m:r>
          <m:r>
            <m:t>,</m:t>
          </m:r>
          <m:r>
            <m:t xml:space="preserve">  </m:t>
          </m:r>
          <m:sSub>
            <m:e>
              <m:r>
                <m:t xml:space="preserve"> F</m:t>
              </m:r>
            </m:e>
            <m:sub>
              <m:r>
                <m:t>T</m:t>
              </m:r>
            </m:sub>
          </m:sSub>
          <m:r>
            <m:t>(6000)=0</m:t>
          </m:r>
        </m:oMath>
      </m:oMathPara>
    </w:p>
    <w:p>
      <w:pPr>
        <w:jc w:val="center"/>
      </w:pPr>
      <w:r>
        <w:drawing>
          <wp:inline xmlns:a="http://schemas.openxmlformats.org/drawingml/2006/main" xmlns:pic="http://schemas.openxmlformats.org/drawingml/2006/picture">
            <wp:extent cx="5303520" cy="2586936"/>
            <wp:docPr id="3" name="Picture 3"/>
            <wp:cNvGraphicFramePr>
              <a:graphicFrameLocks noChangeAspect="1"/>
            </wp:cNvGraphicFramePr>
            <a:graphic>
              <a:graphicData uri="http://schemas.openxmlformats.org/drawingml/2006/picture">
                <pic:pic>
                  <pic:nvPicPr>
                    <pic:cNvPr id="0" name="result_q1_dispatch.png"/>
                    <pic:cNvPicPr/>
                  </pic:nvPicPr>
                  <pic:blipFill>
                    <a:blip r:embed="rId11"/>
                    <a:stretch>
                      <a:fillRect/>
                    </a:stretch>
                  </pic:blipFill>
                  <pic:spPr>
                    <a:xfrm>
                      <a:off x="0" y="0"/>
                      <a:ext cx="5303520" cy="2586936"/>
                    </a:xfrm>
                    <a:prstGeom prst="rect"/>
                  </pic:spPr>
                </pic:pic>
              </a:graphicData>
            </a:graphic>
          </wp:inline>
        </w:drawing>
      </w:r>
    </w:p>
    <w:p>
      <w:pPr>
        <w:jc w:val="center"/>
      </w:pPr>
      <w:r>
        <w:t>图3  问题一价格与购电</w:t>
      </w:r>
    </w:p>
    <w:p>
      <w:pPr>
        <w:spacing w:before="0" w:after="0" w:line="300" w:lineRule="auto"/>
        <w:ind w:firstLine="480"/>
      </w:pPr>
      <w:r>
        <w:rPr>
          <w:rFonts w:ascii="Times New Roman" w:hAnsi="Times New Roman" w:eastAsia="宋体"/>
          <w:b w:val="0"/>
          <w:sz w:val="24"/>
        </w:rPr>
        <w:t>图3给出价格和购电量的时序对应。</w:t>
      </w:r>
    </w:p>
    <w:p>
      <w:pPr>
        <w:pageBreakBefore/>
        <w:spacing w:before="0" w:after="0" w:line="300" w:lineRule="auto"/>
        <w:jc w:val="center"/>
      </w:pPr>
      <w:r>
        <w:rPr>
          <w:rFonts w:ascii="Times New Roman" w:hAnsi="Times New Roman" w:eastAsia="宋体"/>
          <w:b/>
          <w:sz w:val="32"/>
        </w:rPr>
        <w:t>四、问题二：日期因果回测</w:t>
      </w:r>
    </w:p>
    <w:p>
      <w:pPr>
        <w:spacing w:before="0" w:after="0" w:line="300" w:lineRule="auto"/>
        <w:ind w:firstLine="480"/>
      </w:pPr>
      <w:r>
        <w:rPr>
          <w:rFonts w:ascii="Times New Roman" w:hAnsi="Times New Roman" w:eastAsia="宋体"/>
          <w:b w:val="0"/>
          <w:sz w:val="24"/>
        </w:rPr>
        <w:t>负荷预测将最近同类型日的日电量水平与归一化日内形状分别取中位数，再恢复为功率；光伏采用目标日前三日中位数并乘0.9。因果诊断显示，负荷MAPE为6.153%，逐时七日中位数为17.987%；光伏三日和七日中位数MAPE分别为4.027%和4.697%。Q2全年费用为16206550.45元，紧急购电量为789872.052 kWh，见图4。</w:t>
      </w:r>
    </w:p>
    <w:p>
      <w:pPr>
        <w:spacing w:before="0" w:after="0" w:line="300" w:lineRule="auto"/>
        <w:jc w:val="center"/>
      </w:pPr>
      <m:oMathPara>
        <m:oMath>
          <m:sSub>
            <m:e>
              <m:r>
                <m:t>Lhat</m:t>
              </m:r>
            </m:e>
            <m:sub>
              <m:r>
                <m:t>d,t</m:t>
              </m:r>
            </m:sub>
          </m:sSub>
          <m:sSub>
            <m:e>
              <m:r>
                <m:t>=Bhat</m:t>
              </m:r>
            </m:e>
            <m:sub>
              <m:r>
                <m:t>d</m:t>
              </m:r>
            </m:sub>
          </m:sSub>
          <m:sSub>
            <m:e>
              <m:r>
                <m:t xml:space="preserve"> s</m:t>
              </m:r>
            </m:e>
            <m:sub>
              <m:r>
                <m:t>h</m:t>
              </m:r>
            </m:sub>
          </m:sSub>
          <m:sSub>
            <m:e>
              <m:r>
                <m:t>at</m:t>
              </m:r>
            </m:e>
            <m:sub>
              <m:r>
                <m:t>d,t</m:t>
              </m:r>
            </m:sub>
          </m:sSub>
          <m:r>
            <m:t>/</m:t>
          </m:r>
          <m:r>
            <m:t>Δ</m:t>
          </m:r>
          <m:r>
            <m:t xml:space="preserve"> t,</m:t>
          </m:r>
          <m:r>
            <m:t xml:space="preserve">  </m:t>
          </m:r>
          <m:sSub>
            <m:e>
              <m:r>
                <m:t>∑</m:t>
              </m:r>
            </m:e>
            <m:sub>
              <m:r>
                <m:t>t</m:t>
              </m:r>
            </m:sub>
          </m:sSub>
          <m:sSub>
            <m:e>
              <m:r>
                <m:t xml:space="preserve"> s</m:t>
              </m:r>
            </m:e>
            <m:sub>
              <m:r>
                <m:t>h</m:t>
              </m:r>
            </m:sub>
          </m:sSub>
          <m:sSub>
            <m:e>
              <m:r>
                <m:t>at</m:t>
              </m:r>
            </m:e>
            <m:sub>
              <m:r>
                <m:t>d,t</m:t>
              </m:r>
            </m:sub>
          </m:sSub>
          <m:r>
            <m:t>Δ</m:t>
          </m:r>
          <m:r>
            <m:t xml:space="preserve"> t=1</m:t>
          </m:r>
        </m:oMath>
      </m:oMathPara>
    </w:p>
    <w:p>
      <w:pPr>
        <w:jc w:val="center"/>
      </w:pPr>
      <w:r>
        <w:drawing>
          <wp:inline xmlns:a="http://schemas.openxmlformats.org/drawingml/2006/main" xmlns:pic="http://schemas.openxmlformats.org/drawingml/2006/picture">
            <wp:extent cx="5303520" cy="2586936"/>
            <wp:docPr id="4" name="Picture 4"/>
            <wp:cNvGraphicFramePr>
              <a:graphicFrameLocks noChangeAspect="1"/>
            </wp:cNvGraphicFramePr>
            <a:graphic>
              <a:graphicData uri="http://schemas.openxmlformats.org/drawingml/2006/picture">
                <pic:pic>
                  <pic:nvPicPr>
                    <pic:cNvPr id="0" name="raw_q2_q3_q4_emergency.png"/>
                    <pic:cNvPicPr/>
                  </pic:nvPicPr>
                  <pic:blipFill>
                    <a:blip r:embed="rId12"/>
                    <a:stretch>
                      <a:fillRect/>
                    </a:stretch>
                  </pic:blipFill>
                  <pic:spPr>
                    <a:xfrm>
                      <a:off x="0" y="0"/>
                      <a:ext cx="5303520" cy="2586936"/>
                    </a:xfrm>
                    <a:prstGeom prst="rect"/>
                  </pic:spPr>
                </pic:pic>
              </a:graphicData>
            </a:graphic>
          </wp:inline>
        </w:drawing>
      </w:r>
    </w:p>
    <w:p>
      <w:pPr>
        <w:jc w:val="center"/>
      </w:pPr>
      <w:r>
        <w:t>图4  各场景全年紧急购电量</w:t>
      </w:r>
    </w:p>
    <w:p>
      <w:pPr>
        <w:spacing w:before="0" w:after="0" w:line="300" w:lineRule="auto"/>
        <w:ind w:firstLine="480"/>
      </w:pPr>
      <w:r>
        <w:rPr>
          <w:rFonts w:ascii="Times New Roman" w:hAnsi="Times New Roman" w:eastAsia="宋体"/>
          <w:b w:val="0"/>
          <w:sz w:val="24"/>
        </w:rPr>
        <w:t>图4用于比较预测误差在全年紧急购电上的传导。</w:t>
      </w:r>
    </w:p>
    <w:p>
      <w:pPr>
        <w:pageBreakBefore/>
        <w:spacing w:before="0" w:after="0" w:line="300" w:lineRule="auto"/>
        <w:jc w:val="center"/>
      </w:pPr>
      <w:r>
        <w:rPr>
          <w:rFonts w:ascii="Times New Roman" w:hAnsi="Times New Roman" w:eastAsia="宋体"/>
          <w:b/>
          <w:sz w:val="32"/>
        </w:rPr>
        <w:t>五、问题三：多时刻预报与B结算</w:t>
      </w:r>
    </w:p>
    <w:p>
      <w:pPr>
        <w:spacing w:before="0" w:after="0" w:line="300" w:lineRule="auto"/>
        <w:ind w:firstLine="480"/>
      </w:pPr>
      <w:r>
        <w:rPr>
          <w:rFonts w:ascii="Times New Roman" w:hAnsi="Times New Roman" w:eastAsia="宋体"/>
          <w:b w:val="0"/>
          <w:sz w:val="24"/>
        </w:rPr>
        <w:t>0、6、12、18时刻只重优化未执行的时间段，并锁定已执行前缀。对0时计划q^0和调整计划q^a，账单按计划基准费、0.5倍调减费、1.5倍调增费和5倍紧急费四项相加。Q3全年费用为18242015.85元，紧急购电量为1066446.282 kWh；各分项和调整量保存在daily_metrics.csv，见图5。</w:t>
      </w:r>
    </w:p>
    <w:p>
      <w:pPr>
        <w:spacing w:before="0" w:after="0" w:line="300" w:lineRule="auto"/>
        <w:jc w:val="center"/>
      </w:pPr>
      <m:oMathPara>
        <m:oMath>
          <m:sSub>
            <m:e>
              <m:r>
                <m:t>K</m:t>
              </m:r>
            </m:e>
            <m:sub>
              <m:r>
                <m:t>3</m:t>
              </m:r>
            </m:sub>
          </m:sSub>
          <m:r>
            <m:t>=</m:t>
          </m:r>
          <m:sSub>
            <m:e>
              <m:r>
                <m:t>∑</m:t>
              </m:r>
            </m:e>
            <m:sub>
              <m:r>
                <m:t>t</m:t>
              </m:r>
            </m:sub>
          </m:sSub>
          <m:sSub>
            <m:e>
              <m:r>
                <m:t xml:space="preserve"> p</m:t>
              </m:r>
            </m:e>
            <m:sub>
              <m:r>
                <m:t>t</m:t>
              </m:r>
            </m:sub>
          </m:sSub>
          <m:sSubSup>
            <m:e>
              <m:r>
                <m:t>q</m:t>
              </m:r>
            </m:e>
            <m:sub>
              <m:r>
                <m:t>t</m:t>
              </m:r>
            </m:sub>
            <m:sup>
              <m:r>
                <m:t>0</m:t>
              </m:r>
            </m:sup>
          </m:sSubSup>
          <m:r>
            <m:t>+</m:t>
          </m:r>
          <m:sSub>
            <m:e>
              <m:r>
                <m:t>∑</m:t>
              </m:r>
            </m:e>
            <m:sub>
              <m:r>
                <m:t>t</m:t>
              </m:r>
            </m:sub>
          </m:sSub>
          <m:sSub>
            <m:e>
              <m:r>
                <m:t>0.5p</m:t>
              </m:r>
            </m:e>
            <m:sub>
              <m:r>
                <m:t>t</m:t>
              </m:r>
            </m:sub>
          </m:sSub>
          <m:sSubSup>
            <m:e>
              <m:r>
                <m:t>(q</m:t>
              </m:r>
            </m:e>
            <m:sub>
              <m:r>
                <m:t>t</m:t>
              </m:r>
            </m:sub>
            <m:sup>
              <m:r>
                <m:t>0</m:t>
              </m:r>
            </m:sup>
          </m:sSubSup>
          <m:sSubSup>
            <m:e>
              <m:r>
                <m:t>-q</m:t>
              </m:r>
            </m:e>
            <m:sub>
              <m:r>
                <m:t>t</m:t>
              </m:r>
            </m:sub>
            <m:sup>
              <m:r>
                <m:t>a</m:t>
              </m:r>
            </m:sup>
          </m:sSubSup>
          <m:sSup>
            <m:e>
              <m:r>
                <m:t>)</m:t>
              </m:r>
            </m:e>
            <m:sup>
              <m:r>
                <m:t>+</m:t>
              </m:r>
            </m:sup>
          </m:sSup>
          <m:r>
            <m:t>+</m:t>
          </m:r>
          <m:sSub>
            <m:e>
              <m:r>
                <m:t>∑</m:t>
              </m:r>
            </m:e>
            <m:sub>
              <m:r>
                <m:t>t</m:t>
              </m:r>
            </m:sub>
          </m:sSub>
          <m:sSub>
            <m:e>
              <m:r>
                <m:t>1.5p</m:t>
              </m:r>
            </m:e>
            <m:sub>
              <m:r>
                <m:t>t</m:t>
              </m:r>
            </m:sub>
          </m:sSub>
          <m:sSubSup>
            <m:e>
              <m:r>
                <m:t>(q</m:t>
              </m:r>
            </m:e>
            <m:sub>
              <m:r>
                <m:t>t</m:t>
              </m:r>
            </m:sub>
            <m:sup>
              <m:r>
                <m:t>a</m:t>
              </m:r>
            </m:sup>
          </m:sSubSup>
          <m:sSubSup>
            <m:e>
              <m:r>
                <m:t>-q</m:t>
              </m:r>
            </m:e>
            <m:sub>
              <m:r>
                <m:t>t</m:t>
              </m:r>
            </m:sub>
            <m:sup>
              <m:r>
                <m:t>0</m:t>
              </m:r>
            </m:sup>
          </m:sSubSup>
          <m:sSup>
            <m:e>
              <m:r>
                <m:t>)</m:t>
              </m:r>
            </m:e>
            <m:sup>
              <m:r>
                <m:t>+</m:t>
              </m:r>
            </m:sup>
          </m:sSup>
          <m:r>
            <m:t>+</m:t>
          </m:r>
          <m:sSub>
            <m:e>
              <m:r>
                <m:t>∑</m:t>
              </m:r>
            </m:e>
            <m:sub>
              <m:r>
                <m:t>t</m:t>
              </m:r>
            </m:sub>
          </m:sSub>
          <m:sSub>
            <m:e>
              <m:r>
                <m:t>5p</m:t>
              </m:r>
            </m:e>
            <m:sub>
              <m:r>
                <m:t>t</m:t>
              </m:r>
            </m:sub>
          </m:sSub>
          <m:sSub>
            <m:e>
              <m:r>
                <m:t>e</m:t>
              </m:r>
            </m:e>
            <m:sub>
              <m:r>
                <m:t>t</m:t>
              </m:r>
            </m:sub>
          </m:sSub>
        </m:oMath>
      </m:oMathPara>
    </w:p>
    <w:p>
      <w:pPr>
        <w:spacing w:before="0" w:after="0" w:line="300" w:lineRule="auto"/>
        <w:jc w:val="center"/>
      </w:pPr>
      <m:oMathPara>
        <m:oMath>
          <m:sSub>
            <m:e>
              <m:r>
                <m:t>e</m:t>
              </m:r>
            </m:e>
            <m:sub>
              <m:r>
                <m:t>t</m:t>
              </m:r>
            </m:sub>
          </m:sSub>
          <m:r>
            <m:t>=</m:t>
          </m:r>
          <m:sSub>
            <m:e>
              <m:r>
                <m:t>[L</m:t>
              </m:r>
            </m:e>
            <m:sub>
              <m:r>
                <m:t>t</m:t>
              </m:r>
            </m:sub>
          </m:sSub>
          <m:r>
            <m:t>Δ</m:t>
          </m:r>
          <m:sSub>
            <m:e>
              <m:r>
                <m:t xml:space="preserve"> t-G</m:t>
              </m:r>
            </m:e>
            <m:sub>
              <m:r>
                <m:t>t</m:t>
              </m:r>
            </m:sub>
          </m:sSub>
          <m:r>
            <m:t>Δ</m:t>
          </m:r>
          <m:sSub>
            <m:e>
              <m:r>
                <m:t xml:space="preserve"> t-q</m:t>
              </m:r>
            </m:e>
            <m:sub>
              <m:r>
                <m:t>t</m:t>
              </m:r>
            </m:sub>
          </m:sSub>
          <m:sSub>
            <m:e>
              <m:r>
                <m:t>-c</m:t>
              </m:r>
            </m:e>
            <m:sub>
              <m:r>
                <m:t>t</m:t>
              </m:r>
            </m:sub>
          </m:sSub>
          <m:sSub>
            <m:e>
              <m:r>
                <m:t>+d</m:t>
              </m:r>
            </m:e>
            <m:sub>
              <m:r>
                <m:t>t</m:t>
              </m:r>
            </m:sub>
          </m:sSub>
          <m:sSup>
            <m:e>
              <m:r>
                <m:t>]</m:t>
              </m:r>
            </m:e>
            <m:sup>
              <m:r>
                <m:t>+</m:t>
              </m:r>
            </m:sup>
          </m:sSup>
        </m:oMath>
      </m:oMathPara>
    </w:p>
    <w:p>
      <w:pPr>
        <w:jc w:val="center"/>
      </w:pPr>
      <w:r>
        <w:drawing>
          <wp:inline xmlns:a="http://schemas.openxmlformats.org/drawingml/2006/main" xmlns:pic="http://schemas.openxmlformats.org/drawingml/2006/picture">
            <wp:extent cx="5303520" cy="2586936"/>
            <wp:docPr id="5" name="Picture 5"/>
            <wp:cNvGraphicFramePr>
              <a:graphicFrameLocks noChangeAspect="1"/>
            </wp:cNvGraphicFramePr>
            <a:graphic>
              <a:graphicData uri="http://schemas.openxmlformats.org/drawingml/2006/picture">
                <pic:pic>
                  <pic:nvPicPr>
                    <pic:cNvPr id="0" name="process_q3_adjustment.png"/>
                    <pic:cNvPicPr/>
                  </pic:nvPicPr>
                  <pic:blipFill>
                    <a:blip r:embed="rId13"/>
                    <a:stretch>
                      <a:fillRect/>
                    </a:stretch>
                  </pic:blipFill>
                  <pic:spPr>
                    <a:xfrm>
                      <a:off x="0" y="0"/>
                      <a:ext cx="5303520" cy="2586936"/>
                    </a:xfrm>
                    <a:prstGeom prst="rect"/>
                  </pic:spPr>
                </pic:pic>
              </a:graphicData>
            </a:graphic>
          </wp:inline>
        </w:drawing>
      </w:r>
    </w:p>
    <w:p>
      <w:pPr>
        <w:jc w:val="center"/>
      </w:pPr>
      <w:r>
        <w:t>图5  计划—调整差额与紧急购电</w:t>
      </w:r>
    </w:p>
    <w:p>
      <w:pPr>
        <w:spacing w:before="0" w:after="0" w:line="300" w:lineRule="auto"/>
        <w:ind w:firstLine="480"/>
      </w:pPr>
      <w:r>
        <w:rPr>
          <w:rFonts w:ascii="Times New Roman" w:hAnsi="Times New Roman" w:eastAsia="宋体"/>
          <w:b w:val="0"/>
          <w:sz w:val="24"/>
        </w:rPr>
        <w:t>图5展示滚动调整量与紧急购电量的关系。</w:t>
      </w:r>
    </w:p>
    <w:p>
      <w:pPr>
        <w:pageBreakBefore/>
        <w:spacing w:before="0" w:after="0" w:line="300" w:lineRule="auto"/>
        <w:jc w:val="center"/>
      </w:pPr>
      <w:r>
        <w:rPr>
          <w:rFonts w:ascii="Times New Roman" w:hAnsi="Times New Roman" w:eastAsia="宋体"/>
          <w:b/>
          <w:sz w:val="32"/>
        </w:rPr>
        <w:t>六、问题四：波动电价的独立分支</w:t>
      </w:r>
    </w:p>
    <w:p>
      <w:pPr>
        <w:spacing w:before="0" w:after="0" w:line="300" w:lineRule="auto"/>
        <w:ind w:firstLine="480"/>
      </w:pPr>
      <w:r>
        <w:rPr>
          <w:rFonts w:ascii="Times New Roman" w:hAnsi="Times New Roman" w:eastAsia="宋体"/>
          <w:b w:val="0"/>
          <w:sz w:val="24"/>
        </w:rPr>
        <w:t>Q4-2将附件4价格替换固定价格并沿用Q2信息边界；Q4-3沿用Q3滚动预报和B结算。两个分支从每天相同的日初SOC独立启动，不把Q4-2的日末状态带入Q4-3。Q4-2费用为16989713.48元、紧急购电789872.052 kWh；Q4-3费用为19577410.54元、紧急购电1067444.696 kWh，见图6和图7。</w:t>
      </w:r>
    </w:p>
    <w:p>
      <w:pPr>
        <w:spacing w:before="0" w:after="0" w:line="300" w:lineRule="auto"/>
        <w:ind w:firstLine="480"/>
      </w:pPr>
      <w:r>
        <w:rPr>
          <w:rFonts w:ascii="Times New Roman" w:hAnsi="Times New Roman" w:eastAsia="宋体"/>
          <w:b w:val="0"/>
          <w:sz w:val="24"/>
        </w:rPr>
        <w:t>表2汇总四个场景的全年结果。</w:t>
      </w:r>
    </w:p>
    <w:p>
      <w:r>
        <w:t>表2  全年本地回测结果</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场景</w:t>
            </w:r>
          </w:p>
        </w:tc>
        <w:tc>
          <w:tcPr>
            <w:tcW w:type="dxa" w:w="2767"/>
            <w:tcBorders>
              <w:bottom w:val="single" w:sz="4" w:space="0" w:color="000000"/>
            </w:tcBorders>
          </w:tcPr>
          <w:p>
            <w:pPr>
              <w:jc w:val="center"/>
            </w:pPr>
            <w:r/>
            <w:r>
              <w:rPr>
                <w:rFonts w:ascii="Times New Roman" w:hAnsi="Times New Roman" w:eastAsia="宋体"/>
                <w:b/>
                <w:sz w:val="24"/>
              </w:rPr>
              <w:t>费用（元）</w:t>
            </w:r>
          </w:p>
        </w:tc>
        <w:tc>
          <w:tcPr>
            <w:tcW w:type="dxa" w:w="2767"/>
            <w:tcBorders>
              <w:bottom w:val="single" w:sz="4" w:space="0" w:color="000000"/>
            </w:tcBorders>
          </w:tcPr>
          <w:p>
            <w:pPr>
              <w:jc w:val="center"/>
            </w:pPr>
            <w:r/>
            <w:r>
              <w:rPr>
                <w:rFonts w:ascii="Times New Roman" w:hAnsi="Times New Roman" w:eastAsia="宋体"/>
                <w:b/>
                <w:sz w:val="24"/>
              </w:rPr>
              <w:t>紧急购电（kWh）</w:t>
            </w:r>
          </w:p>
        </w:tc>
      </w:tr>
      <w:tr>
        <w:tc>
          <w:tcPr>
            <w:tcW w:type="dxa" w:w="2767"/>
          </w:tcPr>
          <w:p>
            <w:pPr>
              <w:jc w:val="center"/>
            </w:pPr>
            <w:r/>
            <w:r>
              <w:rPr>
                <w:rFonts w:ascii="Times New Roman" w:hAnsi="Times New Roman" w:eastAsia="宋体"/>
                <w:b w:val="0"/>
                <w:sz w:val="24"/>
              </w:rPr>
              <w:t>Q2</w:t>
            </w:r>
          </w:p>
        </w:tc>
        <w:tc>
          <w:tcPr>
            <w:tcW w:type="dxa" w:w="2767"/>
          </w:tcPr>
          <w:p>
            <w:pPr>
              <w:jc w:val="center"/>
            </w:pPr>
            <w:r/>
            <w:r>
              <w:rPr>
                <w:rFonts w:ascii="Times New Roman" w:hAnsi="Times New Roman" w:eastAsia="宋体"/>
                <w:b w:val="0"/>
                <w:sz w:val="24"/>
              </w:rPr>
              <w:t>16206550.45</w:t>
            </w:r>
          </w:p>
        </w:tc>
        <w:tc>
          <w:tcPr>
            <w:tcW w:type="dxa" w:w="2767"/>
          </w:tcPr>
          <w:p>
            <w:pPr>
              <w:jc w:val="center"/>
            </w:pPr>
            <w:r/>
            <w:r>
              <w:rPr>
                <w:rFonts w:ascii="Times New Roman" w:hAnsi="Times New Roman" w:eastAsia="宋体"/>
                <w:b w:val="0"/>
                <w:sz w:val="24"/>
              </w:rPr>
              <w:t>789872.052</w:t>
            </w:r>
          </w:p>
        </w:tc>
      </w:tr>
      <w:tr>
        <w:tc>
          <w:tcPr>
            <w:tcW w:type="dxa" w:w="2767"/>
          </w:tcPr>
          <w:p>
            <w:pPr>
              <w:jc w:val="center"/>
            </w:pPr>
            <w:r/>
            <w:r>
              <w:rPr>
                <w:rFonts w:ascii="Times New Roman" w:hAnsi="Times New Roman" w:eastAsia="宋体"/>
                <w:b w:val="0"/>
                <w:sz w:val="24"/>
              </w:rPr>
              <w:t>Q3</w:t>
            </w:r>
          </w:p>
        </w:tc>
        <w:tc>
          <w:tcPr>
            <w:tcW w:type="dxa" w:w="2767"/>
          </w:tcPr>
          <w:p>
            <w:pPr>
              <w:jc w:val="center"/>
            </w:pPr>
            <w:r/>
            <w:r>
              <w:rPr>
                <w:rFonts w:ascii="Times New Roman" w:hAnsi="Times New Roman" w:eastAsia="宋体"/>
                <w:b w:val="0"/>
                <w:sz w:val="24"/>
              </w:rPr>
              <w:t>18242015.85</w:t>
            </w:r>
          </w:p>
        </w:tc>
        <w:tc>
          <w:tcPr>
            <w:tcW w:type="dxa" w:w="2767"/>
          </w:tcPr>
          <w:p>
            <w:pPr>
              <w:jc w:val="center"/>
            </w:pPr>
            <w:r/>
            <w:r>
              <w:rPr>
                <w:rFonts w:ascii="Times New Roman" w:hAnsi="Times New Roman" w:eastAsia="宋体"/>
                <w:b w:val="0"/>
                <w:sz w:val="24"/>
              </w:rPr>
              <w:t>1066446.282</w:t>
            </w:r>
          </w:p>
        </w:tc>
      </w:tr>
      <w:tr>
        <w:tc>
          <w:tcPr>
            <w:tcW w:type="dxa" w:w="2767"/>
          </w:tcPr>
          <w:p>
            <w:pPr>
              <w:jc w:val="center"/>
            </w:pPr>
            <w:r/>
            <w:r>
              <w:rPr>
                <w:rFonts w:ascii="Times New Roman" w:hAnsi="Times New Roman" w:eastAsia="宋体"/>
                <w:b w:val="0"/>
                <w:sz w:val="24"/>
              </w:rPr>
              <w:t>Q4-2</w:t>
            </w:r>
          </w:p>
        </w:tc>
        <w:tc>
          <w:tcPr>
            <w:tcW w:type="dxa" w:w="2767"/>
          </w:tcPr>
          <w:p>
            <w:pPr>
              <w:jc w:val="center"/>
            </w:pPr>
            <w:r/>
            <w:r>
              <w:rPr>
                <w:rFonts w:ascii="Times New Roman" w:hAnsi="Times New Roman" w:eastAsia="宋体"/>
                <w:b w:val="0"/>
                <w:sz w:val="24"/>
              </w:rPr>
              <w:t>16989713.48</w:t>
            </w:r>
          </w:p>
        </w:tc>
        <w:tc>
          <w:tcPr>
            <w:tcW w:type="dxa" w:w="2767"/>
          </w:tcPr>
          <w:p>
            <w:pPr>
              <w:jc w:val="center"/>
            </w:pPr>
            <w:r/>
            <w:r>
              <w:rPr>
                <w:rFonts w:ascii="Times New Roman" w:hAnsi="Times New Roman" w:eastAsia="宋体"/>
                <w:b w:val="0"/>
                <w:sz w:val="24"/>
              </w:rPr>
              <w:t>789872.052</w:t>
            </w:r>
          </w:p>
        </w:tc>
      </w:tr>
      <w:tr>
        <w:tc>
          <w:tcPr>
            <w:tcW w:type="dxa" w:w="2767"/>
          </w:tcPr>
          <w:p>
            <w:pPr>
              <w:jc w:val="center"/>
            </w:pPr>
            <w:r/>
            <w:r>
              <w:rPr>
                <w:rFonts w:ascii="Times New Roman" w:hAnsi="Times New Roman" w:eastAsia="宋体"/>
                <w:b w:val="0"/>
                <w:sz w:val="24"/>
              </w:rPr>
              <w:t>Q4-3</w:t>
            </w:r>
          </w:p>
        </w:tc>
        <w:tc>
          <w:tcPr>
            <w:tcW w:type="dxa" w:w="2767"/>
          </w:tcPr>
          <w:p>
            <w:pPr>
              <w:jc w:val="center"/>
            </w:pPr>
            <w:r/>
            <w:r>
              <w:rPr>
                <w:rFonts w:ascii="Times New Roman" w:hAnsi="Times New Roman" w:eastAsia="宋体"/>
                <w:b w:val="0"/>
                <w:sz w:val="24"/>
              </w:rPr>
              <w:t>19577410.54</w:t>
            </w:r>
          </w:p>
        </w:tc>
        <w:tc>
          <w:tcPr>
            <w:tcW w:type="dxa" w:w="2767"/>
          </w:tcPr>
          <w:p>
            <w:pPr>
              <w:jc w:val="center"/>
            </w:pPr>
            <w:r/>
            <w:r>
              <w:rPr>
                <w:rFonts w:ascii="Times New Roman" w:hAnsi="Times New Roman" w:eastAsia="宋体"/>
                <w:b w:val="0"/>
                <w:sz w:val="24"/>
              </w:rPr>
              <w:t>1067444.696</w:t>
            </w:r>
          </w:p>
        </w:tc>
      </w:tr>
    </w:tbl>
    <w:p>
      <w:pPr>
        <w:jc w:val="center"/>
      </w:pPr>
      <w:r>
        <w:drawing>
          <wp:inline xmlns:a="http://schemas.openxmlformats.org/drawingml/2006/main" xmlns:pic="http://schemas.openxmlformats.org/drawingml/2006/picture">
            <wp:extent cx="5303520" cy="2585466"/>
            <wp:docPr id="6" name="Picture 6"/>
            <wp:cNvGraphicFramePr>
              <a:graphicFrameLocks noChangeAspect="1"/>
            </wp:cNvGraphicFramePr>
            <a:graphic>
              <a:graphicData uri="http://schemas.openxmlformats.org/drawingml/2006/picture">
                <pic:pic>
                  <pic:nvPicPr>
                    <pic:cNvPr id="0" name="result_q4_cost_box.png"/>
                    <pic:cNvPicPr/>
                  </pic:nvPicPr>
                  <pic:blipFill>
                    <a:blip r:embed="rId14"/>
                    <a:stretch>
                      <a:fillRect/>
                    </a:stretch>
                  </pic:blipFill>
                  <pic:spPr>
                    <a:xfrm>
                      <a:off x="0" y="0"/>
                      <a:ext cx="5303520" cy="2585466"/>
                    </a:xfrm>
                    <a:prstGeom prst="rect"/>
                  </pic:spPr>
                </pic:pic>
              </a:graphicData>
            </a:graphic>
          </wp:inline>
        </w:drawing>
      </w:r>
    </w:p>
    <w:p>
      <w:pPr>
        <w:jc w:val="center"/>
      </w:pPr>
      <w:r>
        <w:t>图6  各场景日费用分布</w:t>
      </w:r>
    </w:p>
    <w:p>
      <w:pPr>
        <w:spacing w:before="0" w:after="0" w:line="300" w:lineRule="auto"/>
        <w:ind w:firstLine="480"/>
      </w:pPr>
      <w:r>
        <w:rPr>
          <w:rFonts w:ascii="Times New Roman" w:hAnsi="Times New Roman" w:eastAsia="宋体"/>
          <w:b w:val="0"/>
          <w:sz w:val="24"/>
        </w:rPr>
        <w:t>图6给出不同信息和价格分支的日费用分布。</w:t>
      </w:r>
    </w:p>
    <w:p>
      <w:pPr>
        <w:jc w:val="center"/>
      </w:pPr>
      <w:r>
        <w:drawing>
          <wp:inline xmlns:a="http://schemas.openxmlformats.org/drawingml/2006/main" xmlns:pic="http://schemas.openxmlformats.org/drawingml/2006/picture">
            <wp:extent cx="5303520" cy="2586862"/>
            <wp:docPr id="7" name="Picture 7"/>
            <wp:cNvGraphicFramePr>
              <a:graphicFrameLocks noChangeAspect="1"/>
            </wp:cNvGraphicFramePr>
            <a:graphic>
              <a:graphicData uri="http://schemas.openxmlformats.org/drawingml/2006/picture">
                <pic:pic>
                  <pic:nvPicPr>
                    <pic:cNvPr id="0" name="result_q4_3_series.png"/>
                    <pic:cNvPicPr/>
                  </pic:nvPicPr>
                  <pic:blipFill>
                    <a:blip r:embed="rId15"/>
                    <a:stretch>
                      <a:fillRect/>
                    </a:stretch>
                  </pic:blipFill>
                  <pic:spPr>
                    <a:xfrm>
                      <a:off x="0" y="0"/>
                      <a:ext cx="5303520" cy="2586862"/>
                    </a:xfrm>
                    <a:prstGeom prst="rect"/>
                  </pic:spPr>
                </pic:pic>
              </a:graphicData>
            </a:graphic>
          </wp:inline>
        </w:drawing>
      </w:r>
    </w:p>
    <w:p>
      <w:pPr>
        <w:jc w:val="center"/>
      </w:pPr>
      <w:r>
        <w:t>图7  问题4-3日费用序列</w:t>
      </w:r>
    </w:p>
    <w:p>
      <w:pPr>
        <w:spacing w:before="0" w:after="0" w:line="300" w:lineRule="auto"/>
        <w:ind w:firstLine="480"/>
      </w:pPr>
      <w:r>
        <w:rPr>
          <w:rFonts w:ascii="Times New Roman" w:hAnsi="Times New Roman" w:eastAsia="宋体"/>
          <w:b w:val="0"/>
          <w:sz w:val="24"/>
        </w:rPr>
        <w:t>图7给出波动价格和滚动调整下的逐日费用。</w:t>
      </w:r>
    </w:p>
    <w:p>
      <w:pPr>
        <w:pageBreakBefore/>
        <w:spacing w:before="0" w:after="0" w:line="300" w:lineRule="auto"/>
        <w:jc w:val="center"/>
      </w:pPr>
      <w:r>
        <w:rPr>
          <w:rFonts w:ascii="Times New Roman" w:hAnsi="Times New Roman" w:eastAsia="宋体"/>
          <w:b/>
          <w:sz w:val="32"/>
        </w:rPr>
        <w:t>七、稳健性、局限与复现</w:t>
      </w:r>
    </w:p>
    <w:p>
      <w:pPr>
        <w:spacing w:before="0" w:after="0" w:line="300" w:lineRule="auto"/>
        <w:ind w:firstLine="480"/>
      </w:pPr>
      <w:r>
        <w:rPr>
          <w:rFonts w:ascii="Times New Roman" w:hAnsi="Times New Roman" w:eastAsia="宋体"/>
          <w:b w:val="0"/>
          <w:sz w:val="24"/>
        </w:rPr>
        <w:t>本版本对经验材料进行了反向检查：经验材料的数字不直接使用；情景路径知道未来时只作为规划近似，不作为因果执行证据；LP互斥结论只在其假设成立时使用；Q3账单和Q4分支状态均逐日审计。有限网格DP不替代MILP，Q2至Q4的结果是本地附件回测而非官方成绩。图8给出本地回测的费用/紧急量对照。运行命令为 ../.venv/bin/python solve_c.py --seed 20260911；结果、输入哈希、预测诊断和DP对照分别见results目录。</w:t>
      </w:r>
    </w:p>
    <w:p>
      <w:pPr>
        <w:jc w:val="center"/>
      </w:pPr>
      <w:r>
        <w:drawing>
          <wp:inline xmlns:a="http://schemas.openxmlformats.org/drawingml/2006/main" xmlns:pic="http://schemas.openxmlformats.org/drawingml/2006/picture">
            <wp:extent cx="5303520" cy="2586936"/>
            <wp:docPr id="8" name="Picture 8"/>
            <wp:cNvGraphicFramePr>
              <a:graphicFrameLocks noChangeAspect="1"/>
            </wp:cNvGraphicFramePr>
            <a:graphic>
              <a:graphicData uri="http://schemas.openxmlformats.org/drawingml/2006/picture">
                <pic:pic>
                  <pic:nvPicPr>
                    <pic:cNvPr id="0" name="process_q3_adjustment.png"/>
                    <pic:cNvPicPr/>
                  </pic:nvPicPr>
                  <pic:blipFill>
                    <a:blip r:embed="rId13"/>
                    <a:stretch>
                      <a:fillRect/>
                    </a:stretch>
                  </pic:blipFill>
                  <pic:spPr>
                    <a:xfrm>
                      <a:off x="0" y="0"/>
                      <a:ext cx="5303520" cy="2586936"/>
                    </a:xfrm>
                    <a:prstGeom prst="rect"/>
                  </pic:spPr>
                </pic:pic>
              </a:graphicData>
            </a:graphic>
          </wp:inline>
        </w:drawing>
      </w:r>
    </w:p>
    <w:p>
      <w:pPr>
        <w:jc w:val="center"/>
      </w:pPr>
      <w:r>
        <w:t>图8  本地回测费用与紧急量对照</w:t>
      </w:r>
    </w:p>
    <w:p>
      <w:pPr>
        <w:spacing w:before="0" w:after="0" w:line="300" w:lineRule="auto"/>
        <w:ind w:firstLine="480"/>
      </w:pPr>
      <w:r>
        <w:rPr>
          <w:rFonts w:ascii="Times New Roman" w:hAnsi="Times New Roman" w:eastAsia="宋体"/>
          <w:b w:val="0"/>
          <w:sz w:val="24"/>
        </w:rPr>
        <w:t>表3给出保守光伏系数的敏感性。</w:t>
      </w:r>
    </w:p>
    <w:p>
      <w:r>
        <w:t>表3  光伏保守系数敏感性（Q2，日电量—形状负荷预测）</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系数</w:t>
            </w:r>
          </w:p>
        </w:tc>
        <w:tc>
          <w:tcPr>
            <w:tcW w:type="dxa" w:w="2767"/>
            <w:tcBorders>
              <w:bottom w:val="single" w:sz="4" w:space="0" w:color="000000"/>
            </w:tcBorders>
          </w:tcPr>
          <w:p>
            <w:pPr>
              <w:jc w:val="center"/>
            </w:pPr>
            <w:r/>
            <w:r>
              <w:rPr>
                <w:rFonts w:ascii="Times New Roman" w:hAnsi="Times New Roman" w:eastAsia="宋体"/>
                <w:b/>
                <w:sz w:val="24"/>
              </w:rPr>
              <w:t>全年费用（元）</w:t>
            </w:r>
          </w:p>
        </w:tc>
        <w:tc>
          <w:tcPr>
            <w:tcW w:type="dxa" w:w="2767"/>
            <w:tcBorders>
              <w:bottom w:val="single" w:sz="4" w:space="0" w:color="000000"/>
            </w:tcBorders>
          </w:tcPr>
          <w:p>
            <w:pPr>
              <w:jc w:val="center"/>
            </w:pPr>
            <w:r/>
            <w:r>
              <w:rPr>
                <w:rFonts w:ascii="Times New Roman" w:hAnsi="Times New Roman" w:eastAsia="宋体"/>
                <w:b/>
                <w:sz w:val="24"/>
              </w:rPr>
              <w:t>紧急购电（kWh）</w:t>
            </w:r>
          </w:p>
        </w:tc>
      </w:tr>
      <w:tr>
        <w:tc>
          <w:tcPr>
            <w:tcW w:type="dxa" w:w="2767"/>
          </w:tcPr>
          <w:p>
            <w:pPr>
              <w:jc w:val="center"/>
            </w:pPr>
            <w:r/>
            <w:r>
              <w:rPr>
                <w:rFonts w:ascii="Times New Roman" w:hAnsi="Times New Roman" w:eastAsia="宋体"/>
                <w:b w:val="0"/>
                <w:sz w:val="24"/>
              </w:rPr>
              <w:t>0.80</w:t>
            </w:r>
          </w:p>
        </w:tc>
        <w:tc>
          <w:tcPr>
            <w:tcW w:type="dxa" w:w="2767"/>
          </w:tcPr>
          <w:p>
            <w:pPr>
              <w:jc w:val="center"/>
            </w:pPr>
            <w:r/>
            <w:r>
              <w:rPr>
                <w:rFonts w:ascii="Times New Roman" w:hAnsi="Times New Roman" w:eastAsia="宋体"/>
                <w:b w:val="0"/>
                <w:sz w:val="24"/>
              </w:rPr>
              <w:t>16622826.83</w:t>
            </w:r>
          </w:p>
        </w:tc>
        <w:tc>
          <w:tcPr>
            <w:tcW w:type="dxa" w:w="2767"/>
          </w:tcPr>
          <w:p>
            <w:pPr>
              <w:jc w:val="center"/>
            </w:pPr>
            <w:r/>
            <w:r>
              <w:rPr>
                <w:rFonts w:ascii="Times New Roman" w:hAnsi="Times New Roman" w:eastAsia="宋体"/>
                <w:b w:val="0"/>
                <w:sz w:val="24"/>
              </w:rPr>
              <w:t>627200.633</w:t>
            </w:r>
          </w:p>
        </w:tc>
      </w:tr>
      <w:tr>
        <w:tc>
          <w:tcPr>
            <w:tcW w:type="dxa" w:w="2767"/>
          </w:tcPr>
          <w:p>
            <w:pPr>
              <w:jc w:val="center"/>
            </w:pPr>
            <w:r/>
            <w:r>
              <w:rPr>
                <w:rFonts w:ascii="Times New Roman" w:hAnsi="Times New Roman" w:eastAsia="宋体"/>
                <w:b w:val="0"/>
                <w:sz w:val="24"/>
              </w:rPr>
              <w:t>0.90</w:t>
            </w:r>
          </w:p>
        </w:tc>
        <w:tc>
          <w:tcPr>
            <w:tcW w:type="dxa" w:w="2767"/>
          </w:tcPr>
          <w:p>
            <w:pPr>
              <w:jc w:val="center"/>
            </w:pPr>
            <w:r/>
            <w:r>
              <w:rPr>
                <w:rFonts w:ascii="Times New Roman" w:hAnsi="Times New Roman" w:eastAsia="宋体"/>
                <w:b w:val="0"/>
                <w:sz w:val="24"/>
              </w:rPr>
              <w:t>16206550.45</w:t>
            </w:r>
          </w:p>
        </w:tc>
        <w:tc>
          <w:tcPr>
            <w:tcW w:type="dxa" w:w="2767"/>
          </w:tcPr>
          <w:p>
            <w:pPr>
              <w:jc w:val="center"/>
            </w:pPr>
            <w:r/>
            <w:r>
              <w:rPr>
                <w:rFonts w:ascii="Times New Roman" w:hAnsi="Times New Roman" w:eastAsia="宋体"/>
                <w:b w:val="0"/>
                <w:sz w:val="24"/>
              </w:rPr>
              <w:t>789872.052</w:t>
            </w:r>
          </w:p>
        </w:tc>
      </w:tr>
      <w:tr>
        <w:tc>
          <w:tcPr>
            <w:tcW w:type="dxa" w:w="2767"/>
          </w:tcPr>
          <w:p>
            <w:pPr>
              <w:jc w:val="center"/>
            </w:pPr>
            <w:r/>
            <w:r>
              <w:rPr>
                <w:rFonts w:ascii="Times New Roman" w:hAnsi="Times New Roman" w:eastAsia="宋体"/>
                <w:b w:val="0"/>
                <w:sz w:val="24"/>
              </w:rPr>
              <w:t>1.00</w:t>
            </w:r>
          </w:p>
        </w:tc>
        <w:tc>
          <w:tcPr>
            <w:tcW w:type="dxa" w:w="2767"/>
          </w:tcPr>
          <w:p>
            <w:pPr>
              <w:jc w:val="center"/>
            </w:pPr>
            <w:r/>
            <w:r>
              <w:rPr>
                <w:rFonts w:ascii="Times New Roman" w:hAnsi="Times New Roman" w:eastAsia="宋体"/>
                <w:b w:val="0"/>
                <w:sz w:val="24"/>
              </w:rPr>
              <w:t>17440007.68</w:t>
            </w:r>
          </w:p>
        </w:tc>
        <w:tc>
          <w:tcPr>
            <w:tcW w:type="dxa" w:w="2767"/>
          </w:tcPr>
          <w:p>
            <w:pPr>
              <w:jc w:val="center"/>
            </w:pPr>
            <w:r/>
            <w:r>
              <w:rPr>
                <w:rFonts w:ascii="Times New Roman" w:hAnsi="Times New Roman" w:eastAsia="宋体"/>
                <w:b w:val="0"/>
                <w:sz w:val="24"/>
              </w:rPr>
              <w:t>1333753.169</w:t>
            </w:r>
          </w:p>
        </w:tc>
      </w:tr>
    </w:tbl>
    <w:p>
      <w:pPr>
        <w:spacing w:before="0" w:after="0" w:line="300" w:lineRule="auto"/>
        <w:jc w:val="center"/>
      </w:pPr>
      <m:oMathPara>
        <m:oMath>
          <m:r>
            <m:t>min</m:t>
          </m:r>
          <m:sSub>
            <m:e>
              <m:r>
                <m:t>∑</m:t>
              </m:r>
            </m:e>
            <m:sub>
              <m:r>
                <m:t>t</m:t>
              </m:r>
            </m:sub>
          </m:sSub>
          <m:sSub>
            <m:e>
              <m:r>
                <m:t xml:space="preserve"> p</m:t>
              </m:r>
            </m:e>
            <m:sub>
              <m:r>
                <m:t>t</m:t>
              </m:r>
            </m:sub>
          </m:sSub>
          <m:sSub>
            <m:e>
              <m:r>
                <m:t>q</m:t>
              </m:r>
            </m:e>
            <m:sub>
              <m:r>
                <m:t>t</m:t>
              </m:r>
            </m:sub>
          </m:sSub>
          <m:sSub>
            <m:e>
              <m:r>
                <m:t>+5p</m:t>
              </m:r>
            </m:e>
            <m:sub>
              <m:r>
                <m:t>t</m:t>
              </m:r>
            </m:sub>
          </m:sSub>
          <m:sSub>
            <m:e>
              <m:r>
                <m:t>e</m:t>
              </m:r>
            </m:e>
            <m:sub>
              <m:r>
                <m:t>t</m:t>
              </m:r>
            </m:sub>
          </m:sSub>
        </m:oMath>
      </m:oMathPara>
    </w:p>
    <w:p>
      <w:pPr>
        <w:pageBreakBefore/>
        <w:spacing w:before="0" w:after="0" w:line="300" w:lineRule="auto"/>
        <w:jc w:val="center"/>
      </w:pPr>
      <w:r>
        <w:rPr>
          <w:rFonts w:ascii="Times New Roman" w:hAnsi="Times New Roman" w:eastAsia="宋体"/>
          <w:b/>
          <w:sz w:val="32"/>
        </w:rPr>
        <w:t>AI工具使用声明</w:t>
      </w:r>
    </w:p>
    <w:p>
      <w:pPr>
        <w:spacing w:before="0" w:after="0" w:line="300" w:lineRule="auto"/>
        <w:ind w:firstLine="480"/>
      </w:pPr>
      <w:r>
        <w:rPr>
          <w:rFonts w:ascii="Times New Roman" w:hAnsi="Times New Roman" w:eastAsia="宋体"/>
          <w:b w:val="0"/>
          <w:sz w:val="24"/>
        </w:rPr>
        <w:t>Codex用于资料检索、代码组织、公式排版和结果复核；参赛队员负责题面解释、模型假设、参数选择、代码运行、结果解释和最终提交。</w:t>
      </w:r>
    </w:p>
    <w:p>
      <w:pPr>
        <w:pageBreakBefore/>
        <w:spacing w:before="0" w:after="0" w:line="300" w:lineRule="auto"/>
        <w:jc w:val="center"/>
      </w:pPr>
      <w:r>
        <w:rPr>
          <w:rFonts w:ascii="Times New Roman" w:hAnsi="Times New Roman" w:eastAsia="宋体"/>
          <w:b/>
          <w:sz w:val="32"/>
        </w:rPr>
        <w:t>参考文献</w:t>
      </w:r>
    </w:p>
    <w:p>
      <w:pPr>
        <w:spacing w:before="0" w:after="0" w:line="300" w:lineRule="auto"/>
        <w:ind w:firstLine="480"/>
      </w:pPr>
      <w:r>
        <w:rPr>
          <w:rFonts w:ascii="Times New Roman" w:hAnsi="Times New Roman" w:eastAsia="宋体"/>
          <w:b w:val="0"/>
          <w:sz w:val="24"/>
        </w:rPr>
        <w:t>[1] 2026年全国大学生数学建模竞赛题目与人工智能使用规定（以官方发布版本为准）。</w:t>
      </w:r>
    </w:p>
    <w:p>
      <w:pPr>
        <w:spacing w:before="0" w:after="0" w:line="300" w:lineRule="auto"/>
        <w:ind w:firstLine="480"/>
      </w:pPr>
      <w:r>
        <w:rPr>
          <w:rFonts w:ascii="Times New Roman" w:hAnsi="Times New Roman" w:eastAsia="宋体"/>
          <w:b w:val="0"/>
          <w:sz w:val="24"/>
        </w:rPr>
        <w:t>[2] Gulotta T 等. Microgrid energy management under uncertainty. International Journal of Electrical Power &amp; Energy Systems, 2023.</w:t>
      </w:r>
    </w:p>
    <w:p>
      <w:pPr>
        <w:spacing w:before="0" w:after="0" w:line="300" w:lineRule="auto"/>
        <w:ind w:firstLine="480"/>
      </w:pPr>
      <w:r>
        <w:rPr>
          <w:rFonts w:ascii="Times New Roman" w:hAnsi="Times New Roman" w:eastAsia="宋体"/>
          <w:b w:val="0"/>
          <w:sz w:val="24"/>
        </w:rPr>
        <w:t>[3] Hart W E 等. Pyomo—optimization modeling in Python. Springer, 2017.</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