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center"/>
      </w:pPr>
      <w:r>
        <w:rPr>
          <w:rFonts w:ascii="Times New Roman" w:hAnsi="Times New Roman" w:eastAsia="黑体"/>
          <w:b w:val="0"/>
          <w:sz w:val="28"/>
        </w:rPr>
        <w:t>微网与外部电网电力调控策略研究</w:t>
      </w:r>
    </w:p>
    <w:p>
      <w:pPr>
        <w:spacing w:before="0" w:after="0" w:line="300" w:lineRule="auto"/>
        <w:jc w:val="center"/>
      </w:pPr>
      <w:r>
        <w:rPr>
          <w:rFonts w:ascii="Times New Roman" w:hAnsi="Times New Roman" w:eastAsia="黑体"/>
          <w:b w:val="0"/>
          <w:sz w:val="28"/>
        </w:rPr>
        <w:t>摘 要</w:t>
      </w:r>
    </w:p>
    <w:p>
      <w:pPr>
        <w:spacing w:before="0" w:after="0" w:line="300" w:lineRule="auto"/>
        <w:ind w:firstLine="480"/>
      </w:pPr>
      <w:r>
        <w:rPr>
          <w:rFonts w:ascii="Times New Roman" w:hAnsi="Times New Roman" w:eastAsia="宋体"/>
          <w:b w:val="0"/>
          <w:sz w:val="24"/>
        </w:rPr>
        <w:t>针对固定与波动电价、负荷和光伏信息逐步揭示条件下的微网购电与储能调度问题，本文在十分钟粒度建立统一的能量平衡模型，显式区分常规购电、紧急购电、充电、放电与弃光，并用储能状态递推、功率边界、容量边界和跨日状态约束保证物理可行。问题一采用带充放电互斥的混合整数线性规划，同时用5 kWh有限状态网格动态规划交叉核验；问题二把负荷预测拆为日电量水平和日内形状，并用目标日前三日光伏中位数乘0.9进行保守预测；问题三在0、6、12、18时锁定已执行前缀、滚动重优化，并按计划基准费、调减0.5倍、调增1.5倍和紧急费结算；问题四在附件4波动价格下独立重算问题二、问题三。问题一单日购电量为59482.699 kWh、费用为35126.986元；2025年2月1日至12月31日的本地回测总费用分别为Q2 16206550.45元、Q3 18242015.85元、Q4-2 16989713.48元和Q4-3 19577410.54元。上述数值均由当前题目附件、代码和结果文件生成，不代表官方成绩。</w:t>
      </w:r>
    </w:p>
    <w:p>
      <w:pPr>
        <w:spacing w:before="0" w:after="0" w:line="300" w:lineRule="auto"/>
      </w:pPr>
    </w:p>
    <w:p>
      <w:pPr>
        <w:spacing w:before="0" w:after="0" w:line="300" w:lineRule="auto"/>
      </w:pPr>
      <w:r>
        <w:rPr>
          <w:rFonts w:ascii="Times New Roman" w:hAnsi="Times New Roman" w:eastAsia="宋体"/>
          <w:b/>
          <w:sz w:val="24"/>
        </w:rPr>
        <w:t>关键词：</w:t>
      </w:r>
      <w:r>
        <w:rPr>
          <w:rFonts w:ascii="Times New Roman" w:hAnsi="Times New Roman" w:eastAsia="宋体"/>
          <w:b w:val="0"/>
          <w:sz w:val="24"/>
        </w:rPr>
        <w:t>微网；储能调度；混合整数线性规划；库存价值；滚动优化；光伏预测；动态电价</w:t>
      </w:r>
    </w:p>
    <w:p>
      <w:pPr>
        <w:pageBreakBefore/>
        <w:spacing w:before="0" w:after="0" w:line="300" w:lineRule="auto"/>
        <w:jc w:val="center"/>
      </w:pPr>
      <w:r>
        <w:rPr>
          <w:rFonts w:ascii="Times New Roman" w:hAnsi="Times New Roman" w:eastAsia="宋体"/>
          <w:b/>
          <w:sz w:val="32"/>
        </w:rPr>
        <w:t>一、问题重述与数据审计</w:t>
      </w:r>
    </w:p>
    <w:p>
      <w:pPr>
        <w:spacing w:before="0" w:after="0" w:line="300" w:lineRule="auto"/>
      </w:pPr>
      <w:r>
        <w:rPr>
          <w:rFonts w:ascii="Times New Roman" w:hAnsi="Times New Roman" w:eastAsia="宋体"/>
          <w:b w:val="0"/>
          <w:sz w:val="28"/>
        </w:rPr>
        <w:t>1.1 题目任务</w:t>
      </w:r>
    </w:p>
    <w:p>
      <w:pPr>
        <w:spacing w:before="0" w:after="0" w:line="300" w:lineRule="auto"/>
        <w:ind w:firstLine="480"/>
      </w:pPr>
      <w:r>
        <w:rPr>
          <w:rFonts w:ascii="Times New Roman" w:hAnsi="Times New Roman" w:eastAsia="宋体"/>
          <w:b w:val="0"/>
          <w:sz w:val="24"/>
        </w:rPr>
        <w:t>题目要求在十分钟时间粒度制定微网的常规购电、紧急购电以及储能充放电策略。问题一给出单日价格、负荷和光伏预测，并要求日初、日末储能相同；问题二扩展到全年实际负荷和光伏，要求每天0:00制定计划，预测偏差由紧急购电补足；问题三在0、6、12、18时发布未来24小时整点光伏预报，允许调整尚未执行的计划；问题四把固定价格替换为附件4的波动价格，分别重算问题二和问题三。</w:t>
      </w:r>
    </w:p>
    <w:p>
      <w:pPr>
        <w:spacing w:before="0" w:after="0" w:line="300" w:lineRule="auto"/>
      </w:pPr>
      <w:r>
        <w:rPr>
          <w:rFonts w:ascii="Times New Roman" w:hAnsi="Times New Roman" w:eastAsia="宋体"/>
          <w:b w:val="0"/>
          <w:sz w:val="28"/>
        </w:rPr>
        <w:t>1.2 数据口径与信息边界</w:t>
      </w:r>
    </w:p>
    <w:p>
      <w:pPr>
        <w:spacing w:before="0" w:after="0" w:line="300" w:lineRule="auto"/>
        <w:ind w:firstLine="480"/>
      </w:pPr>
      <w:r>
        <w:rPr>
          <w:rFonts w:ascii="Times New Roman" w:hAnsi="Times New Roman" w:eastAsia="宋体"/>
          <w:b w:val="0"/>
          <w:sz w:val="24"/>
        </w:rPr>
        <w:t>附件1包含144个十分钟记录，作为问题一的价格、负荷和光伏预测；附件2包含2025年365天的实际负荷和光伏；附件3包含每日四次、每次24个整点值的光伏预报；附件4包含每日144个十分钟价格。为避免未来信息泄漏，全年评估严格取2025-02-01至2025-12-31的334天，目标日预测仅读取严格早于目标日的行。功率乘以Δt=1/6 h后进入能量平衡，价格与电量相乘得到费用；时间标签0:00+1表示次日0:00。</w:t>
      </w:r>
    </w:p>
    <w:p>
      <w:r>
        <w:t>表1  数据文件与使用方式</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文件</w:t>
            </w:r>
          </w:p>
        </w:tc>
        <w:tc>
          <w:tcPr>
            <w:tcW w:type="dxa" w:w="2767"/>
            <w:tcBorders>
              <w:bottom w:val="single" w:sz="4" w:space="0" w:color="000000"/>
            </w:tcBorders>
          </w:tcPr>
          <w:p>
            <w:pPr>
              <w:jc w:val="center"/>
            </w:pPr>
            <w:r/>
            <w:r>
              <w:rPr>
                <w:rFonts w:ascii="Times New Roman" w:hAnsi="Times New Roman" w:eastAsia="宋体"/>
                <w:b/>
                <w:sz w:val="24"/>
              </w:rPr>
              <w:t>内容</w:t>
            </w:r>
          </w:p>
        </w:tc>
        <w:tc>
          <w:tcPr>
            <w:tcW w:type="dxa" w:w="2767"/>
            <w:tcBorders>
              <w:bottom w:val="single" w:sz="4" w:space="0" w:color="000000"/>
            </w:tcBorders>
          </w:tcPr>
          <w:p>
            <w:pPr>
              <w:jc w:val="center"/>
            </w:pPr>
            <w:r/>
            <w:r>
              <w:rPr>
                <w:rFonts w:ascii="Times New Roman" w:hAnsi="Times New Roman" w:eastAsia="宋体"/>
                <w:b/>
                <w:sz w:val="24"/>
              </w:rPr>
              <w:t>模型使用</w:t>
            </w:r>
          </w:p>
        </w:tc>
      </w:tr>
      <w:tr>
        <w:tc>
          <w:tcPr>
            <w:tcW w:type="dxa" w:w="2767"/>
          </w:tcPr>
          <w:p>
            <w:pPr>
              <w:jc w:val="center"/>
            </w:pPr>
            <w:r/>
            <w:r>
              <w:rPr>
                <w:rFonts w:ascii="Times New Roman" w:hAnsi="Times New Roman" w:eastAsia="宋体"/>
                <w:b w:val="0"/>
                <w:sz w:val="24"/>
              </w:rPr>
              <w:t>附件1.xlsx</w:t>
            </w:r>
          </w:p>
        </w:tc>
        <w:tc>
          <w:tcPr>
            <w:tcW w:type="dxa" w:w="2767"/>
          </w:tcPr>
          <w:p>
            <w:pPr>
              <w:jc w:val="center"/>
            </w:pPr>
            <w:r/>
            <w:r>
              <w:rPr>
                <w:rFonts w:ascii="Times New Roman" w:hAnsi="Times New Roman" w:eastAsia="宋体"/>
                <w:b w:val="0"/>
                <w:sz w:val="24"/>
              </w:rPr>
              <w:t>单日价格、负荷、光伏预测</w:t>
            </w:r>
          </w:p>
        </w:tc>
        <w:tc>
          <w:tcPr>
            <w:tcW w:type="dxa" w:w="2767"/>
          </w:tcPr>
          <w:p>
            <w:pPr>
              <w:jc w:val="center"/>
            </w:pPr>
            <w:r/>
            <w:r>
              <w:rPr>
                <w:rFonts w:ascii="Times New Roman" w:hAnsi="Times New Roman" w:eastAsia="宋体"/>
                <w:b w:val="0"/>
                <w:sz w:val="24"/>
              </w:rPr>
              <w:t>问题一；固定价格基准</w:t>
            </w:r>
          </w:p>
        </w:tc>
      </w:tr>
      <w:tr>
        <w:tc>
          <w:tcPr>
            <w:tcW w:type="dxa" w:w="2767"/>
          </w:tcPr>
          <w:p>
            <w:pPr>
              <w:jc w:val="center"/>
            </w:pPr>
            <w:r/>
            <w:r>
              <w:rPr>
                <w:rFonts w:ascii="Times New Roman" w:hAnsi="Times New Roman" w:eastAsia="宋体"/>
                <w:b w:val="0"/>
                <w:sz w:val="24"/>
              </w:rPr>
              <w:t>附件2.xlsx</w:t>
            </w:r>
          </w:p>
        </w:tc>
        <w:tc>
          <w:tcPr>
            <w:tcW w:type="dxa" w:w="2767"/>
          </w:tcPr>
          <w:p>
            <w:pPr>
              <w:jc w:val="center"/>
            </w:pPr>
            <w:r/>
            <w:r>
              <w:rPr>
                <w:rFonts w:ascii="Times New Roman" w:hAnsi="Times New Roman" w:eastAsia="宋体"/>
                <w:b w:val="0"/>
                <w:sz w:val="24"/>
              </w:rPr>
              <w:t>全年实际负荷、光伏</w:t>
            </w:r>
          </w:p>
        </w:tc>
        <w:tc>
          <w:tcPr>
            <w:tcW w:type="dxa" w:w="2767"/>
          </w:tcPr>
          <w:p>
            <w:pPr>
              <w:jc w:val="center"/>
            </w:pPr>
            <w:r/>
            <w:r>
              <w:rPr>
                <w:rFonts w:ascii="Times New Roman" w:hAnsi="Times New Roman" w:eastAsia="宋体"/>
                <w:b w:val="0"/>
                <w:sz w:val="24"/>
              </w:rPr>
              <w:t>Q2—Q4实际结算与回测</w:t>
            </w:r>
          </w:p>
        </w:tc>
      </w:tr>
      <w:tr>
        <w:tc>
          <w:tcPr>
            <w:tcW w:type="dxa" w:w="2767"/>
          </w:tcPr>
          <w:p>
            <w:pPr>
              <w:jc w:val="center"/>
            </w:pPr>
            <w:r/>
            <w:r>
              <w:rPr>
                <w:rFonts w:ascii="Times New Roman" w:hAnsi="Times New Roman" w:eastAsia="宋体"/>
                <w:b w:val="0"/>
                <w:sz w:val="24"/>
              </w:rPr>
              <w:t>附件3.xlsx</w:t>
            </w:r>
          </w:p>
        </w:tc>
        <w:tc>
          <w:tcPr>
            <w:tcW w:type="dxa" w:w="2767"/>
          </w:tcPr>
          <w:p>
            <w:pPr>
              <w:jc w:val="center"/>
            </w:pPr>
            <w:r/>
            <w:r>
              <w:rPr>
                <w:rFonts w:ascii="Times New Roman" w:hAnsi="Times New Roman" w:eastAsia="宋体"/>
                <w:b w:val="0"/>
                <w:sz w:val="24"/>
              </w:rPr>
              <w:t>每日0/6/12/18时光伏预报</w:t>
            </w:r>
          </w:p>
        </w:tc>
        <w:tc>
          <w:tcPr>
            <w:tcW w:type="dxa" w:w="2767"/>
          </w:tcPr>
          <w:p>
            <w:pPr>
              <w:jc w:val="center"/>
            </w:pPr>
            <w:r/>
            <w:r>
              <w:rPr>
                <w:rFonts w:ascii="Times New Roman" w:hAnsi="Times New Roman" w:eastAsia="宋体"/>
                <w:b w:val="0"/>
                <w:sz w:val="24"/>
              </w:rPr>
              <w:t>Q3、Q4-3滚动更新</w:t>
            </w:r>
          </w:p>
        </w:tc>
      </w:tr>
      <w:tr>
        <w:tc>
          <w:tcPr>
            <w:tcW w:type="dxa" w:w="2767"/>
          </w:tcPr>
          <w:p>
            <w:pPr>
              <w:jc w:val="center"/>
            </w:pPr>
            <w:r/>
            <w:r>
              <w:rPr>
                <w:rFonts w:ascii="Times New Roman" w:hAnsi="Times New Roman" w:eastAsia="宋体"/>
                <w:b w:val="0"/>
                <w:sz w:val="24"/>
              </w:rPr>
              <w:t>附件4.xlsx</w:t>
            </w:r>
          </w:p>
        </w:tc>
        <w:tc>
          <w:tcPr>
            <w:tcW w:type="dxa" w:w="2767"/>
          </w:tcPr>
          <w:p>
            <w:pPr>
              <w:jc w:val="center"/>
            </w:pPr>
            <w:r/>
            <w:r>
              <w:rPr>
                <w:rFonts w:ascii="Times New Roman" w:hAnsi="Times New Roman" w:eastAsia="宋体"/>
                <w:b w:val="0"/>
                <w:sz w:val="24"/>
              </w:rPr>
              <w:t>全年十分钟波动价格</w:t>
            </w:r>
          </w:p>
        </w:tc>
        <w:tc>
          <w:tcPr>
            <w:tcW w:type="dxa" w:w="2767"/>
          </w:tcPr>
          <w:p>
            <w:pPr>
              <w:jc w:val="center"/>
            </w:pPr>
            <w:r/>
            <w:r>
              <w:rPr>
                <w:rFonts w:ascii="Times New Roman" w:hAnsi="Times New Roman" w:eastAsia="宋体"/>
                <w:b w:val="0"/>
                <w:sz w:val="24"/>
              </w:rPr>
              <w:t>Q4-2、Q4-3价格</w:t>
            </w:r>
          </w:p>
        </w:tc>
      </w:tr>
    </w:tbl>
    <w:p>
      <w:pPr>
        <w:spacing w:before="0" w:after="0" w:line="300" w:lineRule="auto"/>
      </w:pPr>
      <w:r>
        <w:rPr>
          <w:rFonts w:ascii="Times New Roman" w:hAnsi="Times New Roman" w:eastAsia="宋体"/>
          <w:b w:val="0"/>
          <w:sz w:val="28"/>
        </w:rPr>
        <w:t>1.3 信息集与预处理流程</w:t>
      </w:r>
    </w:p>
    <w:p>
      <w:pPr>
        <w:spacing w:before="0" w:after="0" w:line="300" w:lineRule="auto"/>
        <w:ind w:firstLine="480"/>
      </w:pPr>
      <w:r>
        <w:rPr>
          <w:rFonts w:ascii="Times New Roman" w:hAnsi="Times New Roman" w:eastAsia="宋体"/>
          <w:b w:val="0"/>
          <w:sz w:val="24"/>
        </w:rPr>
        <w:t>四个子问题共享能量平衡和储能状态方程，但决策时可见的信息不同。问题一把附件1中的单日负荷、光伏预测和价格视为已知；问题二在每天0:00只使用目标日前的历史样本生成计划，实际负荷与实际光伏留到事后结算；问题三在0、6、12、18时接收新光伏预报，只重算尚未执行的区间；问题四只替换价格序列，分别沿用问题二、问题三的信息边界。这样处理可以把预测误差、信息更新时间和价格变化的影响分开。</w:t>
      </w:r>
    </w:p>
    <w:p>
      <w:pPr>
        <w:spacing w:before="0" w:after="0" w:line="300" w:lineRule="auto"/>
        <w:ind w:firstLine="480"/>
      </w:pPr>
      <w:r>
        <w:rPr>
          <w:rFonts w:ascii="Times New Roman" w:hAnsi="Times New Roman" w:eastAsia="宋体"/>
          <w:b w:val="0"/>
          <w:sz w:val="24"/>
        </w:rPr>
        <w:t>数据读取先把Excel日期序列转换为真实日期，并检查全年日期连续、每天144个十分钟记录。附件3同一天的四条预报记录可能只有首行带日期，读取时沿用该日期；24个整点预测按小时中心线性插值到十分钟中心，端点使用最近值。输入审计显示，附件1有144条记录和432个数值字段，附件2和附件4均为365×144个功率或价格记录，附件3为365×4×24个预测值；检查未发现缺失或非数值单元格。</w:t>
      </w:r>
    </w:p>
    <w:p>
      <w:pPr>
        <w:spacing w:before="0" w:after="0" w:line="300" w:lineRule="auto"/>
        <w:ind w:firstLine="480"/>
      </w:pPr>
      <w:r>
        <w:rPr>
          <w:rFonts w:ascii="Times New Roman" w:hAnsi="Times New Roman" w:eastAsia="宋体"/>
          <w:b w:val="0"/>
          <w:sz w:val="24"/>
        </w:rPr>
        <w:t>全年回测按结果模板取2025-02-01至2025-12-31的334天。所有功率在进入能量平衡前乘以Δt，所有费用由同一时段的价格乘购电量计算；原始附件不被改写，字段、范围和输入哈希由scripts/validate_input_xml.py记录，结果文件由当前代码写入results目录。</w:t>
      </w:r>
    </w:p>
    <w:p>
      <w:pPr>
        <w:jc w:val="center"/>
      </w:pPr>
      <w:r>
        <w:drawing>
          <wp:inline xmlns:a="http://schemas.openxmlformats.org/drawingml/2006/main" xmlns:pic="http://schemas.openxmlformats.org/drawingml/2006/picture">
            <wp:extent cx="4389120" cy="2139696"/>
            <wp:docPr id="1" name="Picture 1"/>
            <wp:cNvGraphicFramePr>
              <a:graphicFrameLocks noChangeAspect="1"/>
            </wp:cNvGraphicFramePr>
            <a:graphic>
              <a:graphicData uri="http://schemas.openxmlformats.org/drawingml/2006/picture">
                <pic:pic>
                  <pic:nvPicPr>
                    <pic:cNvPr id="0" name="raw_q1_inputs.png"/>
                    <pic:cNvPicPr/>
                  </pic:nvPicPr>
                  <pic:blipFill>
                    <a:blip r:embed="rId9"/>
                    <a:stretch>
                      <a:fillRect/>
                    </a:stretch>
                  </pic:blipFill>
                  <pic:spPr>
                    <a:xfrm>
                      <a:off x="0" y="0"/>
                      <a:ext cx="4389120" cy="2139696"/>
                    </a:xfrm>
                    <a:prstGeom prst="rect"/>
                  </pic:spPr>
                </pic:pic>
              </a:graphicData>
            </a:graphic>
          </wp:inline>
        </w:drawing>
      </w:r>
    </w:p>
    <w:p>
      <w:pPr>
        <w:jc w:val="center"/>
      </w:pPr>
      <w:r>
        <w:t>图1  问题一输入序列（负荷、光伏预测与十分钟时间轴）</w:t>
      </w:r>
    </w:p>
    <w:p>
      <w:pPr>
        <w:spacing w:before="0" w:after="0" w:line="300" w:lineRule="auto"/>
        <w:ind w:firstLine="480"/>
      </w:pPr>
      <w:r>
        <w:rPr>
          <w:rFonts w:ascii="Times New Roman" w:hAnsi="Times New Roman" w:eastAsia="宋体"/>
          <w:b w:val="0"/>
          <w:sz w:val="24"/>
        </w:rPr>
        <w:t>图1只用于核对问题一输入的时间轴、负荷与光伏预测的相对变化，不把曲线形状直接当作全年实际运行结论。竞赛规则和论文格式以官方规范[1]为准。</w:t>
      </w:r>
    </w:p>
    <w:p>
      <w:pPr>
        <w:spacing w:before="0" w:after="0" w:line="300" w:lineRule="auto"/>
      </w:pPr>
      <w:r>
        <w:rPr>
          <w:rFonts w:ascii="Times New Roman" w:hAnsi="Times New Roman" w:eastAsia="宋体"/>
          <w:b w:val="0"/>
          <w:sz w:val="28"/>
        </w:rPr>
        <w:t>1.4 数据审计结论</w:t>
      </w:r>
    </w:p>
    <w:p>
      <w:pPr>
        <w:spacing w:before="0" w:after="0" w:line="300" w:lineRule="auto"/>
        <w:ind w:firstLine="480"/>
      </w:pPr>
      <w:r>
        <w:rPr>
          <w:rFonts w:ascii="Times New Roman" w:hAnsi="Times New Roman" w:eastAsia="宋体"/>
          <w:b w:val="0"/>
          <w:sz w:val="24"/>
        </w:rPr>
        <w:t>审计结果表明，附件的主要风险不在缺失值，而在时间索引、功率与电量的换算以及预测信息的可得性。因此程序先按真实日期和十分钟序号建立索引，再执行功率乘Δt；结果模板中的‘0:00-0:10+1’只作为导出标签，不参与内部状态递推。附件3日期空白行只做同日标签的前向填充，不对预测数值作插值外的人工修正。</w:t>
      </w:r>
    </w:p>
    <w:p>
      <w:pPr>
        <w:spacing w:before="0" w:after="0" w:line="300" w:lineRule="auto"/>
        <w:ind w:firstLine="480"/>
      </w:pPr>
      <w:r>
        <w:rPr>
          <w:rFonts w:ascii="Times New Roman" w:hAnsi="Times New Roman" w:eastAsia="宋体"/>
          <w:b w:val="0"/>
          <w:sz w:val="24"/>
        </w:rPr>
        <w:t>上述检查不能证明预测本身准确，只能证明输入结构完整、单位转换有迹可循。预测误差由问题二和问题三的因果回测衡量，实际负荷与实际光伏只在结算阶段进入误差和费用计算；若把实际值提前送入日内优化，会得到不可复现的完美信息结果。</w:t>
      </w:r>
    </w:p>
    <w:p>
      <w:pPr>
        <w:spacing w:before="0" w:after="0" w:line="300" w:lineRule="auto"/>
        <w:ind w:firstLine="480"/>
      </w:pPr>
      <w:r>
        <w:rPr>
          <w:rFonts w:ascii="Times New Roman" w:hAnsi="Times New Roman" w:eastAsia="宋体"/>
          <w:b w:val="0"/>
          <w:sz w:val="24"/>
        </w:rPr>
        <w:t>由此，后文统一采用‘预测用于决策、实际值用于回放’的双轨记录：每个策略同时保存输入信息集、求解计划、实际能量平衡、紧急购电和费用分项。这样既能比较储能策略，也能把预测改进、预报更新时间和价格替换带来的收益分开归因。</w:t>
      </w:r>
    </w:p>
    <w:p>
      <w:pPr>
        <w:pageBreakBefore/>
        <w:spacing w:before="0" w:after="0" w:line="300" w:lineRule="auto"/>
        <w:jc w:val="center"/>
      </w:pPr>
      <w:r>
        <w:rPr>
          <w:rFonts w:ascii="Times New Roman" w:hAnsi="Times New Roman" w:eastAsia="宋体"/>
          <w:b/>
          <w:sz w:val="32"/>
        </w:rPr>
        <w:t>二、模型假设、符号与统一约束</w:t>
      </w:r>
    </w:p>
    <w:p>
      <w:pPr>
        <w:spacing w:before="0" w:after="0" w:line="300" w:lineRule="auto"/>
      </w:pPr>
      <w:r>
        <w:rPr>
          <w:rFonts w:ascii="Times New Roman" w:hAnsi="Times New Roman" w:eastAsia="宋体"/>
          <w:b w:val="0"/>
          <w:sz w:val="28"/>
        </w:rPr>
        <w:t>2.1 建模假设</w:t>
      </w:r>
    </w:p>
    <w:p>
      <w:pPr>
        <w:spacing w:before="0" w:after="0" w:line="300" w:lineRule="auto"/>
        <w:ind w:firstLine="480"/>
      </w:pPr>
      <w:r>
        <w:rPr>
          <w:rFonts w:ascii="Times New Roman" w:hAnsi="Times New Roman" w:eastAsia="宋体"/>
          <w:b w:val="0"/>
          <w:sz w:val="24"/>
        </w:rPr>
        <w:t>作如下约定：①微网可从外网购电，光伏优先用于负荷或储能，富余光伏允许弃用；②储能只受题目给出的容量、充放电功率和效率约束，不考虑电池退化与自放电；③每个十分钟区间内功率保持不变；④紧急购电不参与计划优化，而是在实际数据到达后按剩余缺口结算；⑤Q3和Q4-3每次只重优化尚未执行区间，已执行前缀保持不变。</w:t>
      </w:r>
    </w:p>
    <w:p>
      <w:pPr>
        <w:spacing w:before="0" w:after="0" w:line="300" w:lineRule="auto"/>
        <w:ind w:firstLine="480"/>
      </w:pPr>
      <w:r>
        <w:rPr>
          <w:rFonts w:ascii="Times New Roman" w:hAnsi="Times New Roman" w:eastAsia="宋体"/>
          <w:b w:val="0"/>
          <w:sz w:val="24"/>
        </w:rPr>
        <w:t>第一条假设把光伏定义为无边际成本的本地供能，并用弃光量u_t保证在光伏大于负荷且储能受限时仍有可行的能量平衡；题目没有给出上网电价，因此不把余电外送收益混入目标函数。第二、三条假设固定了状态量和控制量的时间口径，使每一步都能在同一组功率上限和容量边界下比较。</w:t>
      </w:r>
    </w:p>
    <w:p>
      <w:pPr>
        <w:spacing w:before="0" w:after="0" w:line="300" w:lineRule="auto"/>
        <w:ind w:firstLine="480"/>
      </w:pPr>
      <w:r>
        <w:rPr>
          <w:rFonts w:ascii="Times New Roman" w:hAnsi="Times New Roman" w:eastAsia="宋体"/>
          <w:b w:val="0"/>
          <w:sz w:val="24"/>
        </w:rPr>
        <w:t>第四、五条假设规定了回测的先后顺序：先用当时可见的预测生成计划，再用实际负荷和实际光伏计算缺口与账单；预报更新只改变尚未执行的后缀，已经发生的功率和储能状态不能被事后改写。这样得到的费用才对应一个可以在线执行的策略。</w:t>
      </w:r>
    </w:p>
    <w:p>
      <w:pPr>
        <w:spacing w:before="0" w:after="0" w:line="300" w:lineRule="auto"/>
      </w:pPr>
      <w:r>
        <w:rPr>
          <w:rFonts w:ascii="Times New Roman" w:hAnsi="Times New Roman" w:eastAsia="宋体"/>
          <w:b w:val="0"/>
          <w:sz w:val="28"/>
        </w:rPr>
        <w:t>2.2 变量与能量平衡</w:t>
      </w:r>
    </w:p>
    <w:p>
      <w:pPr>
        <w:spacing w:before="0" w:after="0" w:line="300" w:lineRule="auto"/>
        <w:ind w:firstLine="480"/>
      </w:pPr>
      <w:r>
        <w:rPr>
          <w:rFonts w:ascii="Times New Roman" w:hAnsi="Times New Roman" w:eastAsia="宋体"/>
          <w:b w:val="0"/>
          <w:sz w:val="24"/>
        </w:rPr>
        <w:t>令t=0,…,T−1表示十分钟时段，q_t、e_t、c_t、d_t、u_t分别表示常规购电、紧急购电、交流侧充电、交流侧放电和弃光量（kWh）；L_t、G_t表示负荷和光伏功率（kW），p_t表示价格（元/kWh），S_t表示时段起点储能量（kWh），η=0.9。</w:t>
      </w:r>
    </w:p>
    <w:p>
      <w:pPr>
        <w:spacing w:before="0" w:after="0" w:line="300" w:lineRule="auto"/>
        <w:jc w:val="center"/>
      </w:pPr>
      <m:oMathPara>
        <m:oMath>
          <m:sSub>
            <m:e>
              <m:r>
                <m:t>q</m:t>
              </m:r>
            </m:e>
            <m:sub>
              <m:r>
                <m:t>t</m:t>
              </m:r>
            </m:sub>
          </m:sSub>
          <m:sSub>
            <m:e>
              <m:r>
                <m:t>+e</m:t>
              </m:r>
            </m:e>
            <m:sub>
              <m:r>
                <m:t>t</m:t>
              </m:r>
            </m:sub>
          </m:sSub>
          <m:sSub>
            <m:e>
              <m:r>
                <m:t>+d</m:t>
              </m:r>
            </m:e>
            <m:sub>
              <m:r>
                <m:t>t</m:t>
              </m:r>
            </m:sub>
          </m:sSub>
          <m:sSub>
            <m:e>
              <m:r>
                <m:t>+G</m:t>
              </m:r>
            </m:e>
            <m:sub>
              <m:r>
                <m:t>t</m:t>
              </m:r>
            </m:sub>
          </m:sSub>
          <m:r>
            <m:t>Δ</m:t>
          </m:r>
          <m:sSub>
            <m:e>
              <m:r>
                <m:t xml:space="preserve"> t=L</m:t>
              </m:r>
            </m:e>
            <m:sub>
              <m:r>
                <m:t>t</m:t>
              </m:r>
            </m:sub>
          </m:sSub>
          <m:r>
            <m:t>Δ</m:t>
          </m:r>
          <m:sSub>
            <m:e>
              <m:r>
                <m:t xml:space="preserve"> t+c</m:t>
              </m:r>
            </m:e>
            <m:sub>
              <m:r>
                <m:t>t</m:t>
              </m:r>
            </m:sub>
          </m:sSub>
          <m:sSub>
            <m:e>
              <m:r>
                <m:t>+u</m:t>
              </m:r>
            </m:e>
            <m:sub>
              <m:r>
                <m:t>t</m:t>
              </m:r>
            </m:sub>
          </m:sSub>
        </m:oMath>
      </m:oMathPara>
    </w:p>
    <w:p>
      <w:pPr>
        <w:spacing w:before="0" w:after="0" w:line="300" w:lineRule="auto"/>
        <w:jc w:val="center"/>
      </w:pPr>
      <m:oMathPara>
        <m:oMath>
          <m:sSub>
            <m:e>
              <m:r>
                <m:t>S</m:t>
              </m:r>
            </m:e>
            <m:sub>
              <m:r>
                <m:t>t+1</m:t>
              </m:r>
            </m:sub>
          </m:sSub>
          <m:sSub>
            <m:e>
              <m:r>
                <m:t>=S</m:t>
              </m:r>
            </m:e>
            <m:sub>
              <m:r>
                <m:t>t</m:t>
              </m:r>
            </m:sub>
          </m:sSub>
          <m:r>
            <m:t>+</m:t>
          </m:r>
          <m:r>
            <m:t>η</m:t>
          </m:r>
          <m:sSub>
            <m:e>
              <m:r>
                <m:t xml:space="preserve"> c</m:t>
              </m:r>
            </m:e>
            <m:sub>
              <m:r>
                <m:t>t</m:t>
              </m:r>
            </m:sub>
          </m:sSub>
          <m:sSub>
            <m:e>
              <m:r>
                <m:t>-d</m:t>
              </m:r>
            </m:e>
            <m:sub>
              <m:r>
                <m:t>t</m:t>
              </m:r>
            </m:sub>
          </m:sSub>
          <m:r>
            <m:t>/</m:t>
          </m:r>
          <m:r>
            <m:t>η</m:t>
          </m:r>
        </m:oMath>
      </m:oMathPara>
    </w:p>
    <w:p>
      <w:pPr>
        <w:spacing w:before="0" w:after="0" w:line="300" w:lineRule="auto"/>
        <w:jc w:val="center"/>
      </w:pPr>
      <m:oMathPara>
        <m:oMath>
          <m:r>
            <m:t>0</m:t>
          </m:r>
          <m:r>
            <m:t>≤</m:t>
          </m:r>
          <m:sSub>
            <m:e>
              <m:r>
                <m:t xml:space="preserve"> c</m:t>
              </m:r>
            </m:e>
            <m:sub>
              <m:r>
                <m:t>t</m:t>
              </m:r>
            </m:sub>
          </m:sSub>
          <m:sSub>
            <m:e>
              <m:r>
                <m:t>,d</m:t>
              </m:r>
            </m:e>
            <m:sub>
              <m:r>
                <m:t>t</m:t>
              </m:r>
            </m:sub>
          </m:sSub>
          <m:r>
            <m:t>≤</m:t>
          </m:r>
          <m:r>
            <m:t>5000</m:t>
          </m:r>
          <m:r>
            <m:t>Δ</m:t>
          </m:r>
          <m:r>
            <m:t xml:space="preserve"> t,</m:t>
          </m:r>
          <m:r>
            <m:t xml:space="preserve">  </m:t>
          </m:r>
          <m:r>
            <m:t>1200</m:t>
          </m:r>
          <m:r>
            <m:t>≤</m:t>
          </m:r>
          <m:sSub>
            <m:e>
              <m:r>
                <m:t xml:space="preserve"> S</m:t>
              </m:r>
            </m:e>
            <m:sub>
              <m:r>
                <m:t>t</m:t>
              </m:r>
            </m:sub>
          </m:sSub>
          <m:r>
            <m:t>≤</m:t>
          </m:r>
          <m:r>
            <m:t>10800,</m:t>
          </m:r>
          <m:r>
            <m:t xml:space="preserve">  </m:t>
          </m:r>
          <m:sSub>
            <m:e>
              <m:r>
                <m:t xml:space="preserve"> S</m:t>
              </m:r>
            </m:e>
            <m:sub>
              <m:r>
                <m:t>0</m:t>
              </m:r>
            </m:sub>
          </m:sSub>
          <m:r>
            <m:t>=6000</m:t>
          </m:r>
        </m:oMath>
      </m:oMathPara>
    </w:p>
    <w:p>
      <w:r>
        <w:t>表2  主要符号与单位</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符号</w:t>
            </w:r>
          </w:p>
        </w:tc>
        <w:tc>
          <w:tcPr>
            <w:tcW w:type="dxa" w:w="2767"/>
            <w:tcBorders>
              <w:bottom w:val="single" w:sz="4" w:space="0" w:color="000000"/>
            </w:tcBorders>
          </w:tcPr>
          <w:p>
            <w:pPr>
              <w:jc w:val="center"/>
            </w:pPr>
            <w:r/>
            <w:r>
              <w:rPr>
                <w:rFonts w:ascii="Times New Roman" w:hAnsi="Times New Roman" w:eastAsia="宋体"/>
                <w:b/>
                <w:sz w:val="24"/>
              </w:rPr>
              <w:t>含义</w:t>
            </w:r>
          </w:p>
        </w:tc>
        <w:tc>
          <w:tcPr>
            <w:tcW w:type="dxa" w:w="2767"/>
            <w:tcBorders>
              <w:bottom w:val="single" w:sz="4" w:space="0" w:color="000000"/>
            </w:tcBorders>
          </w:tcPr>
          <w:p>
            <w:pPr>
              <w:jc w:val="center"/>
            </w:pPr>
            <w:r/>
            <w:r>
              <w:rPr>
                <w:rFonts w:ascii="Times New Roman" w:hAnsi="Times New Roman" w:eastAsia="宋体"/>
                <w:b/>
                <w:sz w:val="24"/>
              </w:rPr>
              <w:t>单位</w:t>
            </w:r>
          </w:p>
        </w:tc>
      </w:tr>
      <w:tr>
        <w:tc>
          <w:tcPr>
            <w:tcW w:type="dxa" w:w="2767"/>
          </w:tcPr>
          <w:p>
            <w:pPr>
              <w:jc w:val="center"/>
            </w:pPr>
            <w:r/>
            <w:r>
              <w:rPr>
                <w:rFonts w:ascii="Times New Roman" w:hAnsi="Times New Roman" w:eastAsia="宋体"/>
                <w:b w:val="0"/>
                <w:sz w:val="24"/>
              </w:rPr>
              <w:t>q_t,e_t</w:t>
            </w:r>
          </w:p>
        </w:tc>
        <w:tc>
          <w:tcPr>
            <w:tcW w:type="dxa" w:w="2767"/>
          </w:tcPr>
          <w:p>
            <w:pPr>
              <w:jc w:val="center"/>
            </w:pPr>
            <w:r/>
            <w:r>
              <w:rPr>
                <w:rFonts w:ascii="Times New Roman" w:hAnsi="Times New Roman" w:eastAsia="宋体"/>
                <w:b w:val="0"/>
                <w:sz w:val="24"/>
              </w:rPr>
              <w:t>常规/紧急购电量</w:t>
            </w:r>
          </w:p>
        </w:tc>
        <w:tc>
          <w:tcPr>
            <w:tcW w:type="dxa" w:w="2767"/>
          </w:tcPr>
          <w:p>
            <w:pPr>
              <w:jc w:val="center"/>
            </w:pPr>
            <w:r/>
            <w:r>
              <w:rPr>
                <w:rFonts w:ascii="Times New Roman" w:hAnsi="Times New Roman" w:eastAsia="宋体"/>
                <w:b w:val="0"/>
                <w:sz w:val="24"/>
              </w:rPr>
              <w:t>kWh</w:t>
            </w:r>
          </w:p>
        </w:tc>
      </w:tr>
      <w:tr>
        <w:tc>
          <w:tcPr>
            <w:tcW w:type="dxa" w:w="2767"/>
          </w:tcPr>
          <w:p>
            <w:pPr>
              <w:jc w:val="center"/>
            </w:pPr>
            <w:r/>
            <w:r>
              <w:rPr>
                <w:rFonts w:ascii="Times New Roman" w:hAnsi="Times New Roman" w:eastAsia="宋体"/>
                <w:b w:val="0"/>
                <w:sz w:val="24"/>
              </w:rPr>
              <w:t>c_t,d_t</w:t>
            </w:r>
          </w:p>
        </w:tc>
        <w:tc>
          <w:tcPr>
            <w:tcW w:type="dxa" w:w="2767"/>
          </w:tcPr>
          <w:p>
            <w:pPr>
              <w:jc w:val="center"/>
            </w:pPr>
            <w:r/>
            <w:r>
              <w:rPr>
                <w:rFonts w:ascii="Times New Roman" w:hAnsi="Times New Roman" w:eastAsia="宋体"/>
                <w:b w:val="0"/>
                <w:sz w:val="24"/>
              </w:rPr>
              <w:t>充电量/放电量</w:t>
            </w:r>
          </w:p>
        </w:tc>
        <w:tc>
          <w:tcPr>
            <w:tcW w:type="dxa" w:w="2767"/>
          </w:tcPr>
          <w:p>
            <w:pPr>
              <w:jc w:val="center"/>
            </w:pPr>
            <w:r/>
            <w:r>
              <w:rPr>
                <w:rFonts w:ascii="Times New Roman" w:hAnsi="Times New Roman" w:eastAsia="宋体"/>
                <w:b w:val="0"/>
                <w:sz w:val="24"/>
              </w:rPr>
              <w:t>kWh</w:t>
            </w:r>
          </w:p>
        </w:tc>
      </w:tr>
      <w:tr>
        <w:tc>
          <w:tcPr>
            <w:tcW w:type="dxa" w:w="2767"/>
          </w:tcPr>
          <w:p>
            <w:pPr>
              <w:jc w:val="center"/>
            </w:pPr>
            <w:r/>
            <w:r>
              <w:rPr>
                <w:rFonts w:ascii="Times New Roman" w:hAnsi="Times New Roman" w:eastAsia="宋体"/>
                <w:b w:val="0"/>
                <w:sz w:val="24"/>
              </w:rPr>
              <w:t>u_t</w:t>
            </w:r>
          </w:p>
        </w:tc>
        <w:tc>
          <w:tcPr>
            <w:tcW w:type="dxa" w:w="2767"/>
          </w:tcPr>
          <w:p>
            <w:pPr>
              <w:jc w:val="center"/>
            </w:pPr>
            <w:r/>
            <w:r>
              <w:rPr>
                <w:rFonts w:ascii="Times New Roman" w:hAnsi="Times New Roman" w:eastAsia="宋体"/>
                <w:b w:val="0"/>
                <w:sz w:val="24"/>
              </w:rPr>
              <w:t>未利用光伏量</w:t>
            </w:r>
          </w:p>
        </w:tc>
        <w:tc>
          <w:tcPr>
            <w:tcW w:type="dxa" w:w="2767"/>
          </w:tcPr>
          <w:p>
            <w:pPr>
              <w:jc w:val="center"/>
            </w:pPr>
            <w:r/>
            <w:r>
              <w:rPr>
                <w:rFonts w:ascii="Times New Roman" w:hAnsi="Times New Roman" w:eastAsia="宋体"/>
                <w:b w:val="0"/>
                <w:sz w:val="24"/>
              </w:rPr>
              <w:t>kWh</w:t>
            </w:r>
          </w:p>
        </w:tc>
      </w:tr>
      <w:tr>
        <w:tc>
          <w:tcPr>
            <w:tcW w:type="dxa" w:w="2767"/>
          </w:tcPr>
          <w:p>
            <w:pPr>
              <w:jc w:val="center"/>
            </w:pPr>
            <w:r/>
            <w:r>
              <w:rPr>
                <w:rFonts w:ascii="Times New Roman" w:hAnsi="Times New Roman" w:eastAsia="宋体"/>
                <w:b w:val="0"/>
                <w:sz w:val="24"/>
              </w:rPr>
              <w:t>S_t</w:t>
            </w:r>
          </w:p>
        </w:tc>
        <w:tc>
          <w:tcPr>
            <w:tcW w:type="dxa" w:w="2767"/>
          </w:tcPr>
          <w:p>
            <w:pPr>
              <w:jc w:val="center"/>
            </w:pPr>
            <w:r/>
            <w:r>
              <w:rPr>
                <w:rFonts w:ascii="Times New Roman" w:hAnsi="Times New Roman" w:eastAsia="宋体"/>
                <w:b w:val="0"/>
                <w:sz w:val="24"/>
              </w:rPr>
              <w:t>储能状态</w:t>
            </w:r>
          </w:p>
        </w:tc>
        <w:tc>
          <w:tcPr>
            <w:tcW w:type="dxa" w:w="2767"/>
          </w:tcPr>
          <w:p>
            <w:pPr>
              <w:jc w:val="center"/>
            </w:pPr>
            <w:r/>
            <w:r>
              <w:rPr>
                <w:rFonts w:ascii="Times New Roman" w:hAnsi="Times New Roman" w:eastAsia="宋体"/>
                <w:b w:val="0"/>
                <w:sz w:val="24"/>
              </w:rPr>
              <w:t>kWh</w:t>
            </w:r>
          </w:p>
        </w:tc>
      </w:tr>
      <w:tr>
        <w:tc>
          <w:tcPr>
            <w:tcW w:type="dxa" w:w="2767"/>
          </w:tcPr>
          <w:p>
            <w:pPr>
              <w:jc w:val="center"/>
            </w:pPr>
            <w:r/>
            <w:r>
              <w:rPr>
                <w:rFonts w:ascii="Times New Roman" w:hAnsi="Times New Roman" w:eastAsia="宋体"/>
                <w:b w:val="0"/>
                <w:sz w:val="24"/>
              </w:rPr>
              <w:t>L_t,G_t</w:t>
            </w:r>
          </w:p>
        </w:tc>
        <w:tc>
          <w:tcPr>
            <w:tcW w:type="dxa" w:w="2767"/>
          </w:tcPr>
          <w:p>
            <w:pPr>
              <w:jc w:val="center"/>
            </w:pPr>
            <w:r/>
            <w:r>
              <w:rPr>
                <w:rFonts w:ascii="Times New Roman" w:hAnsi="Times New Roman" w:eastAsia="宋体"/>
                <w:b w:val="0"/>
                <w:sz w:val="24"/>
              </w:rPr>
              <w:t>负荷/光伏功率</w:t>
            </w:r>
          </w:p>
        </w:tc>
        <w:tc>
          <w:tcPr>
            <w:tcW w:type="dxa" w:w="2767"/>
          </w:tcPr>
          <w:p>
            <w:pPr>
              <w:jc w:val="center"/>
            </w:pPr>
            <w:r/>
            <w:r>
              <w:rPr>
                <w:rFonts w:ascii="Times New Roman" w:hAnsi="Times New Roman" w:eastAsia="宋体"/>
                <w:b w:val="0"/>
                <w:sz w:val="24"/>
              </w:rPr>
              <w:t>kW</w:t>
            </w:r>
          </w:p>
        </w:tc>
      </w:tr>
      <w:tr>
        <w:tc>
          <w:tcPr>
            <w:tcW w:type="dxa" w:w="2767"/>
          </w:tcPr>
          <w:p>
            <w:pPr>
              <w:jc w:val="center"/>
            </w:pPr>
            <w:r/>
            <w:r>
              <w:rPr>
                <w:rFonts w:ascii="Times New Roman" w:hAnsi="Times New Roman" w:eastAsia="宋体"/>
                <w:b w:val="0"/>
                <w:sz w:val="24"/>
              </w:rPr>
              <w:t>p_t</w:t>
            </w:r>
          </w:p>
        </w:tc>
        <w:tc>
          <w:tcPr>
            <w:tcW w:type="dxa" w:w="2767"/>
          </w:tcPr>
          <w:p>
            <w:pPr>
              <w:jc w:val="center"/>
            </w:pPr>
            <w:r/>
            <w:r>
              <w:rPr>
                <w:rFonts w:ascii="Times New Roman" w:hAnsi="Times New Roman" w:eastAsia="宋体"/>
                <w:b w:val="0"/>
                <w:sz w:val="24"/>
              </w:rPr>
              <w:t>外网交易价格</w:t>
            </w:r>
          </w:p>
        </w:tc>
        <w:tc>
          <w:tcPr>
            <w:tcW w:type="dxa" w:w="2767"/>
          </w:tcPr>
          <w:p>
            <w:pPr>
              <w:jc w:val="center"/>
            </w:pPr>
            <w:r/>
            <w:r>
              <w:rPr>
                <w:rFonts w:ascii="Times New Roman" w:hAnsi="Times New Roman" w:eastAsia="宋体"/>
                <w:b w:val="0"/>
                <w:sz w:val="24"/>
              </w:rPr>
              <w:t>元/kWh</w:t>
            </w:r>
          </w:p>
        </w:tc>
      </w:tr>
    </w:tbl>
    <w:p>
      <w:pPr>
        <w:spacing w:before="0" w:after="0" w:line="300" w:lineRule="auto"/>
        <w:ind w:firstLine="480"/>
      </w:pPr>
      <w:r>
        <w:rPr>
          <w:rFonts w:ascii="Times New Roman" w:hAnsi="Times New Roman" w:eastAsia="宋体"/>
          <w:b w:val="0"/>
          <w:sz w:val="24"/>
        </w:rPr>
        <w:t>能量平衡式左侧是可供给能量：常规购电、紧急购电、储能放电和光伏；右侧是负荷、储能充电以及弃光。因此光伏先抵消负荷，剩余部分只能进入储能或u_t；光伏不足时由储能放电、常规购电或紧急购电补齐。状态方程采用交流侧充放电口径：输入c_t中只有η比例存入电池，输出d_t需要从电池取出d_t/η。</w:t>
      </w:r>
    </w:p>
    <w:p>
      <w:pPr>
        <w:spacing w:before="0" w:after="0" w:line="300" w:lineRule="auto"/>
        <w:ind w:firstLine="480"/>
      </w:pPr>
      <w:r>
        <w:rPr>
          <w:rFonts w:ascii="Times New Roman" w:hAnsi="Times New Roman" w:eastAsia="宋体"/>
          <w:b w:val="0"/>
          <w:sz w:val="24"/>
        </w:rPr>
        <w:t>由于Δt=1/6 h，5000 kW的功率上限对应每个十分钟最多833.333 kWh的充电或放电量。S_t是时段起点状态，因而共有T+1个状态点；问题一另外固定S_T=S_0，全年回测则把上一日末状态传给下一日初始状态。</w:t>
      </w:r>
    </w:p>
    <w:p>
      <w:pPr>
        <w:spacing w:before="0" w:after="0" w:line="300" w:lineRule="auto"/>
      </w:pPr>
      <w:r>
        <w:rPr>
          <w:rFonts w:ascii="Times New Roman" w:hAnsi="Times New Roman" w:eastAsia="宋体"/>
          <w:b w:val="0"/>
          <w:sz w:val="28"/>
        </w:rPr>
        <w:t>2.3 目标函数与审计</w:t>
      </w:r>
    </w:p>
    <w:p>
      <w:pPr>
        <w:spacing w:before="0" w:after="0" w:line="300" w:lineRule="auto"/>
        <w:ind w:firstLine="480"/>
      </w:pPr>
      <w:r>
        <w:rPr>
          <w:rFonts w:ascii="Times New Roman" w:hAnsi="Times New Roman" w:eastAsia="宋体"/>
          <w:b w:val="0"/>
          <w:sz w:val="24"/>
        </w:rPr>
        <w:t>固定价格场景以常规购电费和紧急购电费最小为目标；问题一令e_t=0并补充S_T=S_0。问题三和问题4-3把0:00计划与后续调整分开计费。每次求解后检查能量平衡、变量非负性、充放电功率、SOC边界、初始状态和端点状态；Q3与Q4-3再检查四项账单之和是否等于日费用。</w:t>
      </w:r>
    </w:p>
    <w:p>
      <w:pPr>
        <w:spacing w:before="0" w:after="0" w:line="300" w:lineRule="auto"/>
      </w:pPr>
      <w:r>
        <w:rPr>
          <w:rFonts w:ascii="Times New Roman" w:hAnsi="Times New Roman" w:eastAsia="宋体"/>
          <w:b w:val="0"/>
          <w:sz w:val="28"/>
        </w:rPr>
        <w:t>2.4 互斥约束与求解接口</w:t>
      </w:r>
    </w:p>
    <w:p>
      <w:pPr>
        <w:spacing w:before="0" w:after="0" w:line="300" w:lineRule="auto"/>
        <w:ind w:firstLine="480"/>
      </w:pPr>
      <w:r>
        <w:rPr>
          <w:rFonts w:ascii="Times New Roman" w:hAnsi="Times New Roman" w:eastAsia="宋体"/>
          <w:b w:val="0"/>
          <w:sz w:val="24"/>
        </w:rPr>
        <w:t>充放电互斥是储能模型中唯一的离散动作。问题一用二元变量z_t把它线性化：c_t≤5000Δt z_t、d_t≤5000Δt(1−z_t)，其中大M取题目给出的单步功率上限，避免人为放大可行域。问题一因此采用MILP；问题二至问题四需要对334天反复滚动求解，采用连续LP并在目标中加入极小的充放电正则项，每次求解后记录充放电重叠量和SOC审计结果。若扩展模型引入退费、负价或其他耦合成本，LP不再自动保证互斥，必须重新启用二元约束。</w:t>
      </w:r>
    </w:p>
    <w:p>
      <w:pPr>
        <w:spacing w:before="0" w:after="0" w:line="300" w:lineRule="auto"/>
      </w:pPr>
      <w:r>
        <w:rPr>
          <w:rFonts w:ascii="Times New Roman" w:hAnsi="Times New Roman" w:eastAsia="宋体"/>
          <w:b w:val="0"/>
          <w:sz w:val="28"/>
        </w:rPr>
        <w:t>2.5 四问共享的输入—输出接口</w:t>
      </w:r>
    </w:p>
    <w:p>
      <w:pPr>
        <w:spacing w:before="0" w:after="0" w:line="300" w:lineRule="auto"/>
        <w:ind w:firstLine="480"/>
      </w:pPr>
      <w:r>
        <w:rPr>
          <w:rFonts w:ascii="Times New Roman" w:hAnsi="Times New Roman" w:eastAsia="宋体"/>
          <w:b w:val="0"/>
          <w:sz w:val="24"/>
        </w:rPr>
        <w:t>四个问题都通过同一个调度接口接收负荷、光伏、价格和日初SOC，输出q_t、c_t、d_t、u_t、e_t及SOC轨迹。差别只体现在输入信息集和账单：问题一输入单日已知预测并强制日末回到初始SOC；问题二按日提前计划并在实际回放时补紧急电；问题三保留0:00计划基准、只对后缀滚动调整；问题四替换价格序列并保持前两问的信息边界。统一接口使不同策略的差异可以归因于预测、更新时间或价格，而不是代码分支的隐含口径。</w:t>
      </w:r>
    </w:p>
    <w:p>
      <w:pPr>
        <w:jc w:val="center"/>
      </w:pPr>
      <w:r>
        <w:drawing>
          <wp:inline xmlns:a="http://schemas.openxmlformats.org/drawingml/2006/main" xmlns:pic="http://schemas.openxmlformats.org/drawingml/2006/picture">
            <wp:extent cx="3931920" cy="1915723"/>
            <wp:docPr id="2" name="Picture 2"/>
            <wp:cNvGraphicFramePr>
              <a:graphicFrameLocks noChangeAspect="1"/>
            </wp:cNvGraphicFramePr>
            <a:graphic>
              <a:graphicData uri="http://schemas.openxmlformats.org/drawingml/2006/picture">
                <pic:pic>
                  <pic:nvPicPr>
                    <pic:cNvPr id="0" name="process_q1_soc.png"/>
                    <pic:cNvPicPr/>
                  </pic:nvPicPr>
                  <pic:blipFill>
                    <a:blip r:embed="rId10"/>
                    <a:stretch>
                      <a:fillRect/>
                    </a:stretch>
                  </pic:blipFill>
                  <pic:spPr>
                    <a:xfrm>
                      <a:off x="0" y="0"/>
                      <a:ext cx="3931920" cy="1915723"/>
                    </a:xfrm>
                    <a:prstGeom prst="rect"/>
                  </pic:spPr>
                </pic:pic>
              </a:graphicData>
            </a:graphic>
          </wp:inline>
        </w:drawing>
      </w:r>
    </w:p>
    <w:p>
      <w:pPr>
        <w:jc w:val="center"/>
      </w:pPr>
      <w:r>
        <w:t>图2  问题一储能充放电与SOC边界审计</w:t>
      </w:r>
    </w:p>
    <w:p>
      <w:pPr>
        <w:spacing w:before="0" w:after="0" w:line="300" w:lineRule="auto"/>
        <w:ind w:firstLine="480"/>
      </w:pPr>
      <w:r>
        <w:rPr>
          <w:rFonts w:ascii="Times New Roman" w:hAnsi="Times New Roman" w:eastAsia="宋体"/>
          <w:b w:val="0"/>
          <w:sz w:val="24"/>
        </w:rPr>
        <w:t>图2同时核对充放电量、储能状态和上下界；尖峰对应单步功率上限，黑线的最低点和最高点分别检验1200 kWh与10800 kWh边界。</w:t>
      </w:r>
    </w:p>
    <w:p>
      <w:pPr>
        <w:pageBreakBefore/>
        <w:spacing w:before="0" w:after="0" w:line="300" w:lineRule="auto"/>
        <w:jc w:val="center"/>
      </w:pPr>
      <w:r>
        <w:rPr>
          <w:rFonts w:ascii="Times New Roman" w:hAnsi="Times New Roman" w:eastAsia="宋体"/>
          <w:b/>
          <w:sz w:val="32"/>
        </w:rPr>
        <w:t>三、问题一：单日确定性调度</w:t>
      </w:r>
    </w:p>
    <w:p>
      <w:pPr>
        <w:spacing w:before="0" w:after="0" w:line="300" w:lineRule="auto"/>
      </w:pPr>
      <w:r>
        <w:rPr>
          <w:rFonts w:ascii="Times New Roman" w:hAnsi="Times New Roman" w:eastAsia="宋体"/>
          <w:b w:val="0"/>
          <w:sz w:val="28"/>
        </w:rPr>
        <w:t>3.1 混合整数线性规划</w:t>
      </w:r>
    </w:p>
    <w:p>
      <w:pPr>
        <w:spacing w:before="0" w:after="0" w:line="300" w:lineRule="auto"/>
        <w:ind w:firstLine="480"/>
      </w:pPr>
      <w:r>
        <w:rPr>
          <w:rFonts w:ascii="Times New Roman" w:hAnsi="Times New Roman" w:eastAsia="宋体"/>
          <w:b w:val="0"/>
          <w:sz w:val="24"/>
        </w:rPr>
        <w:t>在附件1预测值被视为已知的条件下，问题一只需为144个时段安排常规购电和储能动作。目标函数为</w:t>
      </w:r>
    </w:p>
    <w:p>
      <w:pPr>
        <w:spacing w:before="0" w:after="0" w:line="300" w:lineRule="auto"/>
        <w:jc w:val="center"/>
      </w:pPr>
      <m:oMathPara>
        <m:oMath>
          <m:r>
            <m:t>min</m:t>
          </m:r>
          <m:sSubSup>
            <m:e>
              <m:r>
                <m:t>∑</m:t>
              </m:r>
            </m:e>
            <m:sub>
              <m:r>
                <m:t>t=0</m:t>
              </m:r>
            </m:sub>
            <m:sup>
              <m:r>
                <m:t>143</m:t>
              </m:r>
            </m:sup>
          </m:sSubSup>
          <m:sSub>
            <m:e>
              <m:r>
                <m:t>p</m:t>
              </m:r>
            </m:e>
            <m:sub>
              <m:r>
                <m:t>t</m:t>
              </m:r>
            </m:sub>
          </m:sSub>
          <m:sSub>
            <m:e>
              <m:r>
                <m:t>q</m:t>
              </m:r>
            </m:e>
            <m:sub>
              <m:r>
                <m:t>t</m:t>
              </m:r>
            </m:sub>
          </m:sSub>
        </m:oMath>
      </m:oMathPara>
    </w:p>
    <w:p>
      <w:pPr>
        <w:spacing w:before="0" w:after="0" w:line="300" w:lineRule="auto"/>
        <w:ind w:firstLine="480"/>
      </w:pPr>
      <w:r>
        <w:rPr>
          <w:rFonts w:ascii="Times New Roman" w:hAnsi="Times New Roman" w:eastAsia="宋体"/>
          <w:b w:val="0"/>
          <w:sz w:val="24"/>
        </w:rPr>
        <w:t>这个目标只为常规购电付费，因为问题一不设置紧急购电，也没有上网收益；日末SOC等于日初SOC则防止模型通过耗尽储能换取一次性低费用。在每个时段，储能只有在当前购电成本与未来购电成本比较后才值得充放电，因而q_t的零值本身也是储能机会成本作用的结果。</w:t>
      </w:r>
    </w:p>
    <w:p>
      <w:pPr>
        <w:spacing w:before="0" w:after="0" w:line="300" w:lineRule="auto"/>
        <w:ind w:firstLine="480"/>
      </w:pPr>
      <w:r>
        <w:rPr>
          <w:rFonts w:ascii="Times New Roman" w:hAnsi="Times New Roman" w:eastAsia="宋体"/>
          <w:b w:val="0"/>
          <w:sz w:val="24"/>
        </w:rPr>
        <w:t>并以二元变量z_t施加c_t≤5000Δt z_t、d_t≤5000Δt(1−z_t)，从而消除同一时段同时充放电。大M直接取单步功率上限，既保留可行动作又不人为放大变量范围。求解器采用SciPy HiGHS的MILP接口，结果再通过能量平衡、SOC边界和端点条件复核；滚动优化与不确定性建模的写法参考文献[2-4]。</w:t>
      </w:r>
    </w:p>
    <w:p>
      <w:pPr>
        <w:spacing w:before="0" w:after="0" w:line="300" w:lineRule="auto"/>
      </w:pPr>
      <w:r>
        <w:rPr>
          <w:rFonts w:ascii="Times New Roman" w:hAnsi="Times New Roman" w:eastAsia="宋体"/>
          <w:b w:val="0"/>
          <w:sz w:val="28"/>
        </w:rPr>
        <w:t>3.2 库存价值动态规划交叉核验</w:t>
      </w:r>
    </w:p>
    <w:p>
      <w:pPr>
        <w:spacing w:before="0" w:after="0" w:line="300" w:lineRule="auto"/>
        <w:ind w:firstLine="480"/>
      </w:pPr>
      <w:r>
        <w:rPr>
          <w:rFonts w:ascii="Times New Roman" w:hAnsi="Times New Roman" w:eastAsia="宋体"/>
          <w:b w:val="0"/>
          <w:sz w:val="24"/>
        </w:rPr>
        <w:t>为独立检查储能跨期机会成本，在1200—10800 kWh范围内按5 kWh离散状态，共得到1921个候选状态。令N_t=(L_t−G_t)Δt表示不考虑储能时该时段的净购电需求，则</w:t>
      </w:r>
    </w:p>
    <w:p>
      <w:pPr>
        <w:spacing w:before="0" w:after="0" w:line="300" w:lineRule="auto"/>
        <w:jc w:val="center"/>
      </w:pPr>
      <m:oMathPara>
        <m:oMath>
          <m:sSub>
            <m:e>
              <m:r>
                <m:t>F</m:t>
              </m:r>
            </m:e>
            <m:sub>
              <m:r>
                <m:t>t</m:t>
              </m:r>
            </m:sub>
          </m:sSub>
          <m:r>
            <m:t>(S)=</m:t>
          </m:r>
          <m:sSub>
            <m:e>
              <m:r>
                <m:t>min</m:t>
              </m:r>
            </m:e>
            <m:sub>
              <m:r>
                <m:t>S</m:t>
              </m:r>
              <m:r>
                <m:t>→</m:t>
              </m:r>
              <m:r>
                <m:t xml:space="preserve"> S'</m:t>
              </m:r>
            </m:sub>
          </m:sSub>
          <m:r>
            <m:t>{</m:t>
          </m:r>
          <m:sSub>
            <m:e>
              <m:r>
                <m:t>p</m:t>
              </m:r>
            </m:e>
            <m:sub>
              <m:r>
                <m:t>t</m:t>
              </m:r>
            </m:sub>
          </m:sSub>
          <m:r>
            <m:t xml:space="preserve"> </m:t>
          </m:r>
          <m:sSub>
            <m:e>
              <m:r>
                <m:t>[N</m:t>
              </m:r>
            </m:e>
            <m:sub>
              <m:r>
                <m:t>t</m:t>
              </m:r>
            </m:sub>
          </m:sSub>
          <m:sSub>
            <m:e>
              <m:r>
                <m:t>+c</m:t>
              </m:r>
            </m:e>
            <m:sub>
              <m:r>
                <m:t>t</m:t>
              </m:r>
            </m:sub>
          </m:sSub>
          <m:sSub>
            <m:e>
              <m:r>
                <m:t>-d</m:t>
              </m:r>
            </m:e>
            <m:sub>
              <m:r>
                <m:t>t</m:t>
              </m:r>
            </m:sub>
          </m:sSub>
          <m:sSup>
            <m:e>
              <m:r>
                <m:t>]</m:t>
              </m:r>
            </m:e>
            <m:sup>
              <m:r>
                <m:t>+</m:t>
              </m:r>
            </m:sup>
          </m:sSup>
          <m:sSub>
            <m:e>
              <m:r>
                <m:t>+F</m:t>
              </m:r>
            </m:e>
            <m:sub>
              <m:r>
                <m:t>t+1</m:t>
              </m:r>
            </m:sub>
          </m:sSub>
          <m:r>
            <m:t>(S')</m:t>
          </m:r>
          <m:r>
            <m:t>}</m:t>
          </m:r>
          <m:r>
            <m:t>,</m:t>
          </m:r>
          <m:r>
            <m:t xml:space="preserve">  </m:t>
          </m:r>
          <m:sSub>
            <m:e>
              <m:r>
                <m:t xml:space="preserve"> F</m:t>
              </m:r>
            </m:e>
            <m:sub>
              <m:r>
                <m:t>T</m:t>
              </m:r>
            </m:sub>
          </m:sSub>
          <m:r>
            <m:t>(6000)=0</m:t>
          </m:r>
        </m:oMath>
      </m:oMathPara>
    </w:p>
    <w:p>
      <w:pPr>
        <w:spacing w:before="0" w:after="0" w:line="300" w:lineRule="auto"/>
        <w:ind w:firstLine="480"/>
      </w:pPr>
      <w:r>
        <w:rPr>
          <w:rFonts w:ascii="Times New Roman" w:hAnsi="Times New Roman" w:eastAsia="宋体"/>
          <w:b w:val="0"/>
          <w:sz w:val="24"/>
        </w:rPr>
        <w:t>MILP费用为35126.986元，有限网格DP初值为35188.908元，相对差异0.1763%。递推从日末边界向前计算每个SOC的最低未来购电费，差异来自5 kWh状态离散和连续MILP之间的取整；提交轨迹采用MILP，DP只承担独立的数值交叉检查。</w:t>
      </w:r>
    </w:p>
    <w:p>
      <w:r>
        <w:t>表3  问题一主要结果</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指标</w:t>
            </w:r>
          </w:p>
        </w:tc>
        <w:tc>
          <w:tcPr>
            <w:tcW w:type="dxa" w:w="2767"/>
            <w:tcBorders>
              <w:bottom w:val="single" w:sz="4" w:space="0" w:color="000000"/>
            </w:tcBorders>
          </w:tcPr>
          <w:p>
            <w:pPr>
              <w:jc w:val="center"/>
            </w:pPr>
            <w:r/>
            <w:r>
              <w:rPr>
                <w:rFonts w:ascii="Times New Roman" w:hAnsi="Times New Roman" w:eastAsia="宋体"/>
                <w:b/>
                <w:sz w:val="24"/>
              </w:rPr>
              <w:t>MILP</w:t>
            </w:r>
          </w:p>
        </w:tc>
        <w:tc>
          <w:tcPr>
            <w:tcW w:type="dxa" w:w="2767"/>
            <w:tcBorders>
              <w:bottom w:val="single" w:sz="4" w:space="0" w:color="000000"/>
            </w:tcBorders>
          </w:tcPr>
          <w:p>
            <w:pPr>
              <w:jc w:val="center"/>
            </w:pPr>
            <w:r/>
            <w:r>
              <w:rPr>
                <w:rFonts w:ascii="Times New Roman" w:hAnsi="Times New Roman" w:eastAsia="宋体"/>
                <w:b/>
                <w:sz w:val="24"/>
              </w:rPr>
              <w:t>5 kWh网格DP</w:t>
            </w:r>
          </w:p>
        </w:tc>
      </w:tr>
      <w:tr>
        <w:tc>
          <w:tcPr>
            <w:tcW w:type="dxa" w:w="2767"/>
          </w:tcPr>
          <w:p>
            <w:pPr>
              <w:jc w:val="center"/>
            </w:pPr>
            <w:r/>
            <w:r>
              <w:rPr>
                <w:rFonts w:ascii="Times New Roman" w:hAnsi="Times New Roman" w:eastAsia="宋体"/>
                <w:b w:val="0"/>
                <w:sz w:val="24"/>
              </w:rPr>
              <w:t>全天费用/元</w:t>
            </w:r>
          </w:p>
        </w:tc>
        <w:tc>
          <w:tcPr>
            <w:tcW w:type="dxa" w:w="2767"/>
          </w:tcPr>
          <w:p>
            <w:pPr>
              <w:jc w:val="center"/>
            </w:pPr>
            <w:r/>
            <w:r>
              <w:rPr>
                <w:rFonts w:ascii="Times New Roman" w:hAnsi="Times New Roman" w:eastAsia="宋体"/>
                <w:b w:val="0"/>
                <w:sz w:val="24"/>
              </w:rPr>
              <w:t>35126.986</w:t>
            </w:r>
          </w:p>
        </w:tc>
        <w:tc>
          <w:tcPr>
            <w:tcW w:type="dxa" w:w="2767"/>
          </w:tcPr>
          <w:p>
            <w:pPr>
              <w:jc w:val="center"/>
            </w:pPr>
            <w:r/>
            <w:r>
              <w:rPr>
                <w:rFonts w:ascii="Times New Roman" w:hAnsi="Times New Roman" w:eastAsia="宋体"/>
                <w:b w:val="0"/>
                <w:sz w:val="24"/>
              </w:rPr>
              <w:t>35188.908</w:t>
            </w:r>
          </w:p>
        </w:tc>
      </w:tr>
      <w:tr>
        <w:tc>
          <w:tcPr>
            <w:tcW w:type="dxa" w:w="2767"/>
          </w:tcPr>
          <w:p>
            <w:pPr>
              <w:jc w:val="center"/>
            </w:pPr>
            <w:r/>
            <w:r>
              <w:rPr>
                <w:rFonts w:ascii="Times New Roman" w:hAnsi="Times New Roman" w:eastAsia="宋体"/>
                <w:b w:val="0"/>
                <w:sz w:val="24"/>
              </w:rPr>
              <w:t>全天常规购电/kWh</w:t>
            </w:r>
          </w:p>
        </w:tc>
        <w:tc>
          <w:tcPr>
            <w:tcW w:type="dxa" w:w="2767"/>
          </w:tcPr>
          <w:p>
            <w:pPr>
              <w:jc w:val="center"/>
            </w:pPr>
            <w:r/>
            <w:r>
              <w:rPr>
                <w:rFonts w:ascii="Times New Roman" w:hAnsi="Times New Roman" w:eastAsia="宋体"/>
                <w:b w:val="0"/>
                <w:sz w:val="24"/>
              </w:rPr>
              <w:t>59482.699</w:t>
            </w:r>
          </w:p>
        </w:tc>
        <w:tc>
          <w:tcPr>
            <w:tcW w:type="dxa" w:w="2767"/>
          </w:tcPr>
          <w:p>
            <w:pPr>
              <w:jc w:val="center"/>
            </w:pPr>
            <w:r/>
            <w:r>
              <w:rPr>
                <w:rFonts w:ascii="Times New Roman" w:hAnsi="Times New Roman" w:eastAsia="宋体"/>
                <w:b w:val="0"/>
                <w:sz w:val="24"/>
              </w:rPr>
              <w:t>—</w:t>
            </w:r>
          </w:p>
        </w:tc>
      </w:tr>
      <w:tr>
        <w:tc>
          <w:tcPr>
            <w:tcW w:type="dxa" w:w="2767"/>
          </w:tcPr>
          <w:p>
            <w:pPr>
              <w:jc w:val="center"/>
            </w:pPr>
            <w:r/>
            <w:r>
              <w:rPr>
                <w:rFonts w:ascii="Times New Roman" w:hAnsi="Times New Roman" w:eastAsia="宋体"/>
                <w:b w:val="0"/>
                <w:sz w:val="24"/>
              </w:rPr>
              <w:t>SOC最小/最大/kWh</w:t>
            </w:r>
          </w:p>
        </w:tc>
        <w:tc>
          <w:tcPr>
            <w:tcW w:type="dxa" w:w="2767"/>
          </w:tcPr>
          <w:p>
            <w:pPr>
              <w:jc w:val="center"/>
            </w:pPr>
            <w:r/>
            <w:r>
              <w:rPr>
                <w:rFonts w:ascii="Times New Roman" w:hAnsi="Times New Roman" w:eastAsia="宋体"/>
                <w:b w:val="0"/>
                <w:sz w:val="24"/>
              </w:rPr>
              <w:t>1200/10800</w:t>
            </w:r>
          </w:p>
        </w:tc>
        <w:tc>
          <w:tcPr>
            <w:tcW w:type="dxa" w:w="2767"/>
          </w:tcPr>
          <w:p>
            <w:pPr>
              <w:jc w:val="center"/>
            </w:pPr>
            <w:r/>
            <w:r>
              <w:rPr>
                <w:rFonts w:ascii="Times New Roman" w:hAnsi="Times New Roman" w:eastAsia="宋体"/>
                <w:b w:val="0"/>
                <w:sz w:val="24"/>
              </w:rPr>
              <w:t>—</w:t>
            </w:r>
          </w:p>
        </w:tc>
      </w:tr>
      <w:tr>
        <w:tc>
          <w:tcPr>
            <w:tcW w:type="dxa" w:w="2767"/>
          </w:tcPr>
          <w:p>
            <w:pPr>
              <w:jc w:val="center"/>
            </w:pPr>
            <w:r/>
            <w:r>
              <w:rPr>
                <w:rFonts w:ascii="Times New Roman" w:hAnsi="Times New Roman" w:eastAsia="宋体"/>
                <w:b w:val="0"/>
                <w:sz w:val="24"/>
              </w:rPr>
              <w:t>日末SOC/kWh</w:t>
            </w:r>
          </w:p>
        </w:tc>
        <w:tc>
          <w:tcPr>
            <w:tcW w:type="dxa" w:w="2767"/>
          </w:tcPr>
          <w:p>
            <w:pPr>
              <w:jc w:val="center"/>
            </w:pPr>
            <w:r/>
            <w:r>
              <w:rPr>
                <w:rFonts w:ascii="Times New Roman" w:hAnsi="Times New Roman" w:eastAsia="宋体"/>
                <w:b w:val="0"/>
                <w:sz w:val="24"/>
              </w:rPr>
              <w:t>6000</w:t>
            </w:r>
          </w:p>
        </w:tc>
        <w:tc>
          <w:tcPr>
            <w:tcW w:type="dxa" w:w="2767"/>
          </w:tcPr>
          <w:p>
            <w:pPr>
              <w:jc w:val="center"/>
            </w:pPr>
            <w:r/>
            <w:r>
              <w:rPr>
                <w:rFonts w:ascii="Times New Roman" w:hAnsi="Times New Roman" w:eastAsia="宋体"/>
                <w:b w:val="0"/>
                <w:sz w:val="24"/>
              </w:rPr>
              <w:t>6000（边界条件）</w:t>
            </w:r>
          </w:p>
        </w:tc>
      </w:tr>
    </w:tbl>
    <w:p>
      <w:r>
        <w:t>表4  问题一指定十分钟时段购电量</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4150"/>
        <w:gridCol w:w="4150"/>
      </w:tblGrid>
      <w:tr>
        <w:tc>
          <w:tcPr>
            <w:tcW w:type="dxa" w:w="4150"/>
            <w:tcBorders>
              <w:bottom w:val="single" w:sz="4" w:space="0" w:color="000000"/>
            </w:tcBorders>
          </w:tcPr>
          <w:p>
            <w:pPr>
              <w:spacing w:before="0" w:after="0" w:line="240" w:lineRule="auto"/>
              <w:jc w:val="center"/>
            </w:pPr>
            <w:r>
              <w:rPr>
                <w:sz w:val="20"/>
              </w:rPr>
            </w:r>
            <w:r>
              <w:rPr>
                <w:rFonts w:ascii="Times New Roman" w:hAnsi="Times New Roman" w:eastAsia="宋体"/>
                <w:b/>
                <w:sz w:val="20"/>
              </w:rPr>
              <w:t>时间段</w:t>
            </w:r>
          </w:p>
        </w:tc>
        <w:tc>
          <w:tcPr>
            <w:tcW w:type="dxa" w:w="4150"/>
            <w:tcBorders>
              <w:bottom w:val="single" w:sz="4" w:space="0" w:color="000000"/>
            </w:tcBorders>
          </w:tcPr>
          <w:p>
            <w:pPr>
              <w:spacing w:before="0" w:after="0" w:line="240" w:lineRule="auto"/>
              <w:jc w:val="center"/>
            </w:pPr>
            <w:r>
              <w:rPr>
                <w:sz w:val="20"/>
              </w:rPr>
            </w:r>
            <w:r>
              <w:rPr>
                <w:rFonts w:ascii="Times New Roman" w:hAnsi="Times New Roman" w:eastAsia="宋体"/>
                <w:b/>
                <w:sz w:val="20"/>
              </w:rPr>
              <w:t>购电量/kWh</w:t>
            </w:r>
          </w:p>
        </w:tc>
      </w:tr>
      <w:tr>
        <w:tc>
          <w:tcPr>
            <w:tcW w:type="dxa" w:w="4150"/>
          </w:tcPr>
          <w:p>
            <w:pPr>
              <w:spacing w:before="0" w:after="0" w:line="240" w:lineRule="auto"/>
              <w:jc w:val="center"/>
            </w:pPr>
            <w:r>
              <w:rPr>
                <w:sz w:val="20"/>
              </w:rPr>
            </w:r>
            <w:r>
              <w:rPr>
                <w:rFonts w:ascii="Times New Roman" w:hAnsi="Times New Roman" w:eastAsia="宋体"/>
                <w:b w:val="0"/>
                <w:sz w:val="20"/>
              </w:rPr>
              <w:t>10:00-10:10</w:t>
            </w:r>
          </w:p>
        </w:tc>
        <w:tc>
          <w:tcPr>
            <w:tcW w:type="dxa" w:w="4150"/>
          </w:tcPr>
          <w:p>
            <w:pPr>
              <w:spacing w:before="0" w:after="0" w:line="240" w:lineRule="auto"/>
              <w:jc w:val="center"/>
            </w:pPr>
            <w:r>
              <w:rPr>
                <w:sz w:val="20"/>
              </w:rPr>
            </w:r>
            <w:r>
              <w:rPr>
                <w:rFonts w:ascii="Times New Roman" w:hAnsi="Times New Roman" w:eastAsia="宋体"/>
                <w:b w:val="0"/>
                <w:sz w:val="20"/>
              </w:rPr>
              <w:t>0.000</w:t>
            </w:r>
          </w:p>
        </w:tc>
      </w:tr>
      <w:tr>
        <w:tc>
          <w:tcPr>
            <w:tcW w:type="dxa" w:w="4150"/>
          </w:tcPr>
          <w:p>
            <w:pPr>
              <w:spacing w:before="0" w:after="0" w:line="240" w:lineRule="auto"/>
              <w:jc w:val="center"/>
            </w:pPr>
            <w:r>
              <w:rPr>
                <w:sz w:val="20"/>
              </w:rPr>
            </w:r>
            <w:r>
              <w:rPr>
                <w:rFonts w:ascii="Times New Roman" w:hAnsi="Times New Roman" w:eastAsia="宋体"/>
                <w:b w:val="0"/>
                <w:sz w:val="20"/>
              </w:rPr>
              <w:t>12:00-12:10</w:t>
            </w:r>
          </w:p>
        </w:tc>
        <w:tc>
          <w:tcPr>
            <w:tcW w:type="dxa" w:w="4150"/>
          </w:tcPr>
          <w:p>
            <w:pPr>
              <w:spacing w:before="0" w:after="0" w:line="240" w:lineRule="auto"/>
              <w:jc w:val="center"/>
            </w:pPr>
            <w:r>
              <w:rPr>
                <w:sz w:val="20"/>
              </w:rPr>
            </w:r>
            <w:r>
              <w:rPr>
                <w:rFonts w:ascii="Times New Roman" w:hAnsi="Times New Roman" w:eastAsia="宋体"/>
                <w:b w:val="0"/>
                <w:sz w:val="20"/>
              </w:rPr>
              <w:t>486.403</w:t>
            </w:r>
          </w:p>
        </w:tc>
      </w:tr>
      <w:tr>
        <w:tc>
          <w:tcPr>
            <w:tcW w:type="dxa" w:w="4150"/>
          </w:tcPr>
          <w:p>
            <w:pPr>
              <w:spacing w:before="0" w:after="0" w:line="240" w:lineRule="auto"/>
              <w:jc w:val="center"/>
            </w:pPr>
            <w:r>
              <w:rPr>
                <w:sz w:val="20"/>
              </w:rPr>
            </w:r>
            <w:r>
              <w:rPr>
                <w:rFonts w:ascii="Times New Roman" w:hAnsi="Times New Roman" w:eastAsia="宋体"/>
                <w:b w:val="0"/>
                <w:sz w:val="20"/>
              </w:rPr>
              <w:t>14:00-14:10</w:t>
            </w:r>
          </w:p>
        </w:tc>
        <w:tc>
          <w:tcPr>
            <w:tcW w:type="dxa" w:w="4150"/>
          </w:tcPr>
          <w:p>
            <w:pPr>
              <w:spacing w:before="0" w:after="0" w:line="240" w:lineRule="auto"/>
              <w:jc w:val="center"/>
            </w:pPr>
            <w:r>
              <w:rPr>
                <w:sz w:val="20"/>
              </w:rPr>
            </w:r>
            <w:r>
              <w:rPr>
                <w:rFonts w:ascii="Times New Roman" w:hAnsi="Times New Roman" w:eastAsia="宋体"/>
                <w:b w:val="0"/>
                <w:sz w:val="20"/>
              </w:rPr>
              <w:t>0.000</w:t>
            </w:r>
          </w:p>
        </w:tc>
      </w:tr>
      <w:tr>
        <w:tc>
          <w:tcPr>
            <w:tcW w:type="dxa" w:w="4150"/>
          </w:tcPr>
          <w:p>
            <w:pPr>
              <w:spacing w:before="0" w:after="0" w:line="240" w:lineRule="auto"/>
              <w:jc w:val="center"/>
            </w:pPr>
            <w:r>
              <w:rPr>
                <w:sz w:val="20"/>
              </w:rPr>
            </w:r>
            <w:r>
              <w:rPr>
                <w:rFonts w:ascii="Times New Roman" w:hAnsi="Times New Roman" w:eastAsia="宋体"/>
                <w:b w:val="0"/>
                <w:sz w:val="20"/>
              </w:rPr>
              <w:t>16:00-16:10</w:t>
            </w:r>
          </w:p>
        </w:tc>
        <w:tc>
          <w:tcPr>
            <w:tcW w:type="dxa" w:w="4150"/>
          </w:tcPr>
          <w:p>
            <w:pPr>
              <w:spacing w:before="0" w:after="0" w:line="240" w:lineRule="auto"/>
              <w:jc w:val="center"/>
            </w:pPr>
            <w:r>
              <w:rPr>
                <w:sz w:val="20"/>
              </w:rPr>
            </w:r>
            <w:r>
              <w:rPr>
                <w:rFonts w:ascii="Times New Roman" w:hAnsi="Times New Roman" w:eastAsia="宋体"/>
                <w:b w:val="0"/>
                <w:sz w:val="20"/>
              </w:rPr>
              <w:t>394.931</w:t>
            </w:r>
          </w:p>
        </w:tc>
      </w:tr>
      <w:tr>
        <w:tc>
          <w:tcPr>
            <w:tcW w:type="dxa" w:w="4150"/>
          </w:tcPr>
          <w:p>
            <w:pPr>
              <w:spacing w:before="0" w:after="0" w:line="240" w:lineRule="auto"/>
              <w:jc w:val="center"/>
            </w:pPr>
            <w:r>
              <w:rPr>
                <w:sz w:val="20"/>
              </w:rPr>
            </w:r>
            <w:r>
              <w:rPr>
                <w:rFonts w:ascii="Times New Roman" w:hAnsi="Times New Roman" w:eastAsia="宋体"/>
                <w:b w:val="0"/>
                <w:sz w:val="20"/>
              </w:rPr>
              <w:t>18:00-18:10</w:t>
            </w:r>
          </w:p>
        </w:tc>
        <w:tc>
          <w:tcPr>
            <w:tcW w:type="dxa" w:w="4150"/>
          </w:tcPr>
          <w:p>
            <w:pPr>
              <w:spacing w:before="0" w:after="0" w:line="240" w:lineRule="auto"/>
              <w:jc w:val="center"/>
            </w:pPr>
            <w:r>
              <w:rPr>
                <w:sz w:val="20"/>
              </w:rPr>
            </w:r>
            <w:r>
              <w:rPr>
                <w:rFonts w:ascii="Times New Roman" w:hAnsi="Times New Roman" w:eastAsia="宋体"/>
                <w:b w:val="0"/>
                <w:sz w:val="20"/>
              </w:rPr>
              <w:t>636.983</w:t>
            </w:r>
          </w:p>
        </w:tc>
      </w:tr>
      <w:tr>
        <w:tc>
          <w:tcPr>
            <w:tcW w:type="dxa" w:w="4150"/>
          </w:tcPr>
          <w:p>
            <w:pPr>
              <w:spacing w:before="0" w:after="0" w:line="240" w:lineRule="auto"/>
              <w:jc w:val="center"/>
            </w:pPr>
            <w:r>
              <w:rPr>
                <w:sz w:val="20"/>
              </w:rPr>
            </w:r>
            <w:r>
              <w:rPr>
                <w:rFonts w:ascii="Times New Roman" w:hAnsi="Times New Roman" w:eastAsia="宋体"/>
                <w:b w:val="0"/>
                <w:sz w:val="20"/>
              </w:rPr>
              <w:t>20:00-20:10</w:t>
            </w:r>
          </w:p>
        </w:tc>
        <w:tc>
          <w:tcPr>
            <w:tcW w:type="dxa" w:w="4150"/>
          </w:tcPr>
          <w:p>
            <w:pPr>
              <w:spacing w:before="0" w:after="0" w:line="240" w:lineRule="auto"/>
              <w:jc w:val="center"/>
            </w:pPr>
            <w:r>
              <w:rPr>
                <w:sz w:val="20"/>
              </w:rPr>
            </w:r>
            <w:r>
              <w:rPr>
                <w:rFonts w:ascii="Times New Roman" w:hAnsi="Times New Roman" w:eastAsia="宋体"/>
                <w:b w:val="0"/>
                <w:sz w:val="20"/>
              </w:rPr>
              <w:t>0.000</w:t>
            </w:r>
          </w:p>
        </w:tc>
      </w:tr>
      <w:tr>
        <w:tc>
          <w:tcPr>
            <w:tcW w:type="dxa" w:w="4150"/>
          </w:tcPr>
          <w:p>
            <w:pPr>
              <w:spacing w:before="0" w:after="0" w:line="240" w:lineRule="auto"/>
              <w:jc w:val="center"/>
            </w:pPr>
            <w:r>
              <w:rPr>
                <w:sz w:val="20"/>
              </w:rPr>
            </w:r>
            <w:r>
              <w:rPr>
                <w:rFonts w:ascii="Times New Roman" w:hAnsi="Times New Roman" w:eastAsia="宋体"/>
                <w:b w:val="0"/>
                <w:sz w:val="20"/>
              </w:rPr>
              <w:t>全天</w:t>
            </w:r>
          </w:p>
        </w:tc>
        <w:tc>
          <w:tcPr>
            <w:tcW w:type="dxa" w:w="4150"/>
          </w:tcPr>
          <w:p>
            <w:pPr>
              <w:spacing w:before="0" w:after="0" w:line="240" w:lineRule="auto"/>
              <w:jc w:val="center"/>
            </w:pPr>
            <w:r>
              <w:rPr>
                <w:sz w:val="20"/>
              </w:rPr>
            </w:r>
            <w:r>
              <w:rPr>
                <w:rFonts w:ascii="Times New Roman" w:hAnsi="Times New Roman" w:eastAsia="宋体"/>
                <w:b w:val="0"/>
                <w:sz w:val="20"/>
              </w:rPr>
              <w:t>59482.699</w:t>
            </w:r>
          </w:p>
        </w:tc>
      </w:tr>
    </w:tbl>
    <w:p>
      <w:r>
        <w:br w:type="page"/>
      </w:r>
    </w:p>
    <w:p>
      <w:r>
        <w:t>表5  问题一指定四小时储能充放电量</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spacing w:before="0" w:after="0" w:line="240" w:lineRule="auto"/>
              <w:jc w:val="center"/>
            </w:pPr>
            <w:r>
              <w:rPr>
                <w:sz w:val="20"/>
              </w:rPr>
            </w:r>
            <w:r>
              <w:rPr>
                <w:rFonts w:ascii="Times New Roman" w:hAnsi="Times New Roman" w:eastAsia="宋体"/>
                <w:b/>
                <w:sz w:val="20"/>
              </w:rPr>
              <w:t>时间段</w:t>
            </w:r>
          </w:p>
        </w:tc>
        <w:tc>
          <w:tcPr>
            <w:tcW w:type="dxa" w:w="2767"/>
            <w:tcBorders>
              <w:bottom w:val="single" w:sz="4" w:space="0" w:color="000000"/>
            </w:tcBorders>
          </w:tcPr>
          <w:p>
            <w:pPr>
              <w:spacing w:before="0" w:after="0" w:line="240" w:lineRule="auto"/>
              <w:jc w:val="center"/>
            </w:pPr>
            <w:r>
              <w:rPr>
                <w:sz w:val="20"/>
              </w:rPr>
            </w:r>
            <w:r>
              <w:rPr>
                <w:rFonts w:ascii="Times New Roman" w:hAnsi="Times New Roman" w:eastAsia="宋体"/>
                <w:b/>
                <w:sz w:val="20"/>
              </w:rPr>
              <w:t>充电量/kWh</w:t>
            </w:r>
          </w:p>
        </w:tc>
        <w:tc>
          <w:tcPr>
            <w:tcW w:type="dxa" w:w="2767"/>
            <w:tcBorders>
              <w:bottom w:val="single" w:sz="4" w:space="0" w:color="000000"/>
            </w:tcBorders>
          </w:tcPr>
          <w:p>
            <w:pPr>
              <w:spacing w:before="0" w:after="0" w:line="240" w:lineRule="auto"/>
              <w:jc w:val="center"/>
            </w:pPr>
            <w:r>
              <w:rPr>
                <w:sz w:val="20"/>
              </w:rPr>
            </w:r>
            <w:r>
              <w:rPr>
                <w:rFonts w:ascii="Times New Roman" w:hAnsi="Times New Roman" w:eastAsia="宋体"/>
                <w:b/>
                <w:sz w:val="20"/>
              </w:rPr>
              <w:t>放电量/kWh</w:t>
            </w:r>
          </w:p>
        </w:tc>
      </w:tr>
      <w:tr>
        <w:tc>
          <w:tcPr>
            <w:tcW w:type="dxa" w:w="2767"/>
          </w:tcPr>
          <w:p>
            <w:pPr>
              <w:spacing w:before="0" w:after="0" w:line="240" w:lineRule="auto"/>
              <w:jc w:val="center"/>
            </w:pPr>
            <w:r>
              <w:rPr>
                <w:sz w:val="20"/>
              </w:rPr>
            </w:r>
            <w:r>
              <w:rPr>
                <w:rFonts w:ascii="Times New Roman" w:hAnsi="Times New Roman" w:eastAsia="宋体"/>
                <w:b w:val="0"/>
                <w:sz w:val="20"/>
              </w:rPr>
              <w:t>0:00-4:00</w:t>
            </w:r>
          </w:p>
        </w:tc>
        <w:tc>
          <w:tcPr>
            <w:tcW w:type="dxa" w:w="2767"/>
          </w:tcPr>
          <w:p>
            <w:pPr>
              <w:spacing w:before="0" w:after="0" w:line="240" w:lineRule="auto"/>
              <w:jc w:val="center"/>
            </w:pPr>
            <w:r>
              <w:rPr>
                <w:sz w:val="20"/>
              </w:rPr>
            </w:r>
            <w:r>
              <w:rPr>
                <w:rFonts w:ascii="Times New Roman" w:hAnsi="Times New Roman" w:eastAsia="宋体"/>
                <w:b w:val="0"/>
                <w:sz w:val="20"/>
              </w:rPr>
              <w:t>4500.000</w:t>
            </w:r>
          </w:p>
        </w:tc>
        <w:tc>
          <w:tcPr>
            <w:tcW w:type="dxa" w:w="2767"/>
          </w:tcPr>
          <w:p>
            <w:pPr>
              <w:spacing w:before="0" w:after="0" w:line="240" w:lineRule="auto"/>
              <w:jc w:val="center"/>
            </w:pPr>
            <w:r>
              <w:rPr>
                <w:sz w:val="20"/>
              </w:rPr>
            </w:r>
            <w:r>
              <w:rPr>
                <w:rFonts w:ascii="Times New Roman" w:hAnsi="Times New Roman" w:eastAsia="宋体"/>
                <w:b w:val="0"/>
                <w:sz w:val="20"/>
              </w:rPr>
              <w:t>0.000</w:t>
            </w:r>
          </w:p>
        </w:tc>
      </w:tr>
      <w:tr>
        <w:tc>
          <w:tcPr>
            <w:tcW w:type="dxa" w:w="2767"/>
          </w:tcPr>
          <w:p>
            <w:pPr>
              <w:spacing w:before="0" w:after="0" w:line="240" w:lineRule="auto"/>
              <w:jc w:val="center"/>
            </w:pPr>
            <w:r>
              <w:rPr>
                <w:sz w:val="20"/>
              </w:rPr>
            </w:r>
            <w:r>
              <w:rPr>
                <w:rFonts w:ascii="Times New Roman" w:hAnsi="Times New Roman" w:eastAsia="宋体"/>
                <w:b w:val="0"/>
                <w:sz w:val="20"/>
              </w:rPr>
              <w:t>4:00-8:00</w:t>
            </w:r>
          </w:p>
        </w:tc>
        <w:tc>
          <w:tcPr>
            <w:tcW w:type="dxa" w:w="2767"/>
          </w:tcPr>
          <w:p>
            <w:pPr>
              <w:spacing w:before="0" w:after="0" w:line="240" w:lineRule="auto"/>
              <w:jc w:val="center"/>
            </w:pPr>
            <w:r>
              <w:rPr>
                <w:sz w:val="20"/>
              </w:rPr>
            </w:r>
            <w:r>
              <w:rPr>
                <w:rFonts w:ascii="Times New Roman" w:hAnsi="Times New Roman" w:eastAsia="宋体"/>
                <w:b w:val="0"/>
                <w:sz w:val="20"/>
              </w:rPr>
              <w:t>833.333</w:t>
            </w:r>
          </w:p>
        </w:tc>
        <w:tc>
          <w:tcPr>
            <w:tcW w:type="dxa" w:w="2767"/>
          </w:tcPr>
          <w:p>
            <w:pPr>
              <w:spacing w:before="0" w:after="0" w:line="240" w:lineRule="auto"/>
              <w:jc w:val="center"/>
            </w:pPr>
            <w:r>
              <w:rPr>
                <w:sz w:val="20"/>
              </w:rPr>
            </w:r>
            <w:r>
              <w:rPr>
                <w:rFonts w:ascii="Times New Roman" w:hAnsi="Times New Roman" w:eastAsia="宋体"/>
                <w:b w:val="0"/>
                <w:sz w:val="20"/>
              </w:rPr>
              <w:t>6365.841</w:t>
            </w:r>
          </w:p>
        </w:tc>
      </w:tr>
      <w:tr>
        <w:tc>
          <w:tcPr>
            <w:tcW w:type="dxa" w:w="2767"/>
          </w:tcPr>
          <w:p>
            <w:pPr>
              <w:spacing w:before="0" w:after="0" w:line="240" w:lineRule="auto"/>
              <w:jc w:val="center"/>
            </w:pPr>
            <w:r>
              <w:rPr>
                <w:sz w:val="20"/>
              </w:rPr>
            </w:r>
            <w:r>
              <w:rPr>
                <w:rFonts w:ascii="Times New Roman" w:hAnsi="Times New Roman" w:eastAsia="宋体"/>
                <w:b w:val="0"/>
                <w:sz w:val="20"/>
              </w:rPr>
              <w:t>8:00-12:00</w:t>
            </w:r>
          </w:p>
        </w:tc>
        <w:tc>
          <w:tcPr>
            <w:tcW w:type="dxa" w:w="2767"/>
          </w:tcPr>
          <w:p>
            <w:pPr>
              <w:spacing w:before="0" w:after="0" w:line="240" w:lineRule="auto"/>
              <w:jc w:val="center"/>
            </w:pPr>
            <w:r>
              <w:rPr>
                <w:sz w:val="20"/>
              </w:rPr>
            </w:r>
            <w:r>
              <w:rPr>
                <w:rFonts w:ascii="Times New Roman" w:hAnsi="Times New Roman" w:eastAsia="宋体"/>
                <w:b w:val="0"/>
                <w:sz w:val="20"/>
              </w:rPr>
              <w:t>4787.964</w:t>
            </w:r>
          </w:p>
        </w:tc>
        <w:tc>
          <w:tcPr>
            <w:tcW w:type="dxa" w:w="2767"/>
          </w:tcPr>
          <w:p>
            <w:pPr>
              <w:spacing w:before="0" w:after="0" w:line="240" w:lineRule="auto"/>
              <w:jc w:val="center"/>
            </w:pPr>
            <w:r>
              <w:rPr>
                <w:sz w:val="20"/>
              </w:rPr>
            </w:r>
            <w:r>
              <w:rPr>
                <w:rFonts w:ascii="Times New Roman" w:hAnsi="Times New Roman" w:eastAsia="宋体"/>
                <w:b w:val="0"/>
                <w:sz w:val="20"/>
              </w:rPr>
              <w:t>1702.997</w:t>
            </w:r>
          </w:p>
        </w:tc>
      </w:tr>
      <w:tr>
        <w:tc>
          <w:tcPr>
            <w:tcW w:type="dxa" w:w="2767"/>
          </w:tcPr>
          <w:p>
            <w:pPr>
              <w:spacing w:before="0" w:after="0" w:line="240" w:lineRule="auto"/>
              <w:jc w:val="center"/>
            </w:pPr>
            <w:r>
              <w:rPr>
                <w:sz w:val="20"/>
              </w:rPr>
            </w:r>
            <w:r>
              <w:rPr>
                <w:rFonts w:ascii="Times New Roman" w:hAnsi="Times New Roman" w:eastAsia="宋体"/>
                <w:b w:val="0"/>
                <w:sz w:val="20"/>
              </w:rPr>
              <w:t>12:00-16:00</w:t>
            </w:r>
          </w:p>
        </w:tc>
        <w:tc>
          <w:tcPr>
            <w:tcW w:type="dxa" w:w="2767"/>
          </w:tcPr>
          <w:p>
            <w:pPr>
              <w:spacing w:before="0" w:after="0" w:line="240" w:lineRule="auto"/>
              <w:jc w:val="center"/>
            </w:pPr>
            <w:r>
              <w:rPr>
                <w:sz w:val="20"/>
              </w:rPr>
            </w:r>
            <w:r>
              <w:rPr>
                <w:rFonts w:ascii="Times New Roman" w:hAnsi="Times New Roman" w:eastAsia="宋体"/>
                <w:b w:val="0"/>
                <w:sz w:val="20"/>
              </w:rPr>
              <w:t>5286.035</w:t>
            </w:r>
          </w:p>
        </w:tc>
        <w:tc>
          <w:tcPr>
            <w:tcW w:type="dxa" w:w="2767"/>
          </w:tcPr>
          <w:p>
            <w:pPr>
              <w:spacing w:before="0" w:after="0" w:line="240" w:lineRule="auto"/>
              <w:jc w:val="center"/>
            </w:pPr>
            <w:r>
              <w:rPr>
                <w:sz w:val="20"/>
              </w:rPr>
            </w:r>
            <w:r>
              <w:rPr>
                <w:rFonts w:ascii="Times New Roman" w:hAnsi="Times New Roman" w:eastAsia="宋体"/>
                <w:b w:val="0"/>
                <w:sz w:val="20"/>
              </w:rPr>
              <w:t>91.101</w:t>
            </w:r>
          </w:p>
        </w:tc>
      </w:tr>
      <w:tr>
        <w:tc>
          <w:tcPr>
            <w:tcW w:type="dxa" w:w="2767"/>
          </w:tcPr>
          <w:p>
            <w:pPr>
              <w:spacing w:before="0" w:after="0" w:line="240" w:lineRule="auto"/>
              <w:jc w:val="center"/>
            </w:pPr>
            <w:r>
              <w:rPr>
                <w:sz w:val="20"/>
              </w:rPr>
            </w:r>
            <w:r>
              <w:rPr>
                <w:rFonts w:ascii="Times New Roman" w:hAnsi="Times New Roman" w:eastAsia="宋体"/>
                <w:b w:val="0"/>
                <w:sz w:val="20"/>
              </w:rPr>
              <w:t>16:00-20:00</w:t>
            </w:r>
          </w:p>
        </w:tc>
        <w:tc>
          <w:tcPr>
            <w:tcW w:type="dxa" w:w="2767"/>
          </w:tcPr>
          <w:p>
            <w:pPr>
              <w:spacing w:before="0" w:after="0" w:line="240" w:lineRule="auto"/>
              <w:jc w:val="center"/>
            </w:pPr>
            <w:r>
              <w:rPr>
                <w:sz w:val="20"/>
              </w:rPr>
            </w:r>
            <w:r>
              <w:rPr>
                <w:rFonts w:ascii="Times New Roman" w:hAnsi="Times New Roman" w:eastAsia="宋体"/>
                <w:b w:val="0"/>
                <w:sz w:val="20"/>
              </w:rPr>
              <w:t>0.000</w:t>
            </w:r>
          </w:p>
        </w:tc>
        <w:tc>
          <w:tcPr>
            <w:tcW w:type="dxa" w:w="2767"/>
          </w:tcPr>
          <w:p>
            <w:pPr>
              <w:spacing w:before="0" w:after="0" w:line="240" w:lineRule="auto"/>
              <w:jc w:val="center"/>
            </w:pPr>
            <w:r>
              <w:rPr>
                <w:sz w:val="20"/>
              </w:rPr>
            </w:r>
            <w:r>
              <w:rPr>
                <w:rFonts w:ascii="Times New Roman" w:hAnsi="Times New Roman" w:eastAsia="宋体"/>
                <w:b w:val="0"/>
                <w:sz w:val="20"/>
              </w:rPr>
              <w:t>5780.132</w:t>
            </w:r>
          </w:p>
        </w:tc>
      </w:tr>
      <w:tr>
        <w:tc>
          <w:tcPr>
            <w:tcW w:type="dxa" w:w="2767"/>
          </w:tcPr>
          <w:p>
            <w:pPr>
              <w:spacing w:before="0" w:after="0" w:line="240" w:lineRule="auto"/>
              <w:jc w:val="center"/>
            </w:pPr>
            <w:r>
              <w:rPr>
                <w:sz w:val="20"/>
              </w:rPr>
            </w:r>
            <w:r>
              <w:rPr>
                <w:rFonts w:ascii="Times New Roman" w:hAnsi="Times New Roman" w:eastAsia="宋体"/>
                <w:b w:val="0"/>
                <w:sz w:val="20"/>
              </w:rPr>
              <w:t>20:00-24:00</w:t>
            </w:r>
          </w:p>
        </w:tc>
        <w:tc>
          <w:tcPr>
            <w:tcW w:type="dxa" w:w="2767"/>
          </w:tcPr>
          <w:p>
            <w:pPr>
              <w:spacing w:before="0" w:after="0" w:line="240" w:lineRule="auto"/>
              <w:jc w:val="center"/>
            </w:pPr>
            <w:r>
              <w:rPr>
                <w:sz w:val="20"/>
              </w:rPr>
            </w:r>
            <w:r>
              <w:rPr>
                <w:rFonts w:ascii="Times New Roman" w:hAnsi="Times New Roman" w:eastAsia="宋体"/>
                <w:b w:val="0"/>
                <w:sz w:val="20"/>
              </w:rPr>
              <w:t>5333.333</w:t>
            </w:r>
          </w:p>
        </w:tc>
        <w:tc>
          <w:tcPr>
            <w:tcW w:type="dxa" w:w="2767"/>
          </w:tcPr>
          <w:p>
            <w:pPr>
              <w:spacing w:before="0" w:after="0" w:line="240" w:lineRule="auto"/>
              <w:jc w:val="center"/>
            </w:pPr>
            <w:r>
              <w:rPr>
                <w:sz w:val="20"/>
              </w:rPr>
            </w:r>
            <w:r>
              <w:rPr>
                <w:rFonts w:ascii="Times New Roman" w:hAnsi="Times New Roman" w:eastAsia="宋体"/>
                <w:b w:val="0"/>
                <w:sz w:val="20"/>
              </w:rPr>
              <w:t>2859.868</w:t>
            </w:r>
          </w:p>
        </w:tc>
      </w:tr>
      <w:tr>
        <w:tc>
          <w:tcPr>
            <w:tcW w:type="dxa" w:w="2767"/>
          </w:tcPr>
          <w:p>
            <w:pPr>
              <w:spacing w:before="0" w:after="0" w:line="240" w:lineRule="auto"/>
              <w:jc w:val="center"/>
            </w:pPr>
            <w:r>
              <w:rPr>
                <w:sz w:val="20"/>
              </w:rPr>
            </w:r>
            <w:r>
              <w:rPr>
                <w:rFonts w:ascii="Times New Roman" w:hAnsi="Times New Roman" w:eastAsia="宋体"/>
                <w:b w:val="0"/>
                <w:sz w:val="20"/>
              </w:rPr>
              <w:t>0:00 / 24:00储电量</w:t>
            </w:r>
          </w:p>
        </w:tc>
        <w:tc>
          <w:tcPr>
            <w:tcW w:type="dxa" w:w="2767"/>
          </w:tcPr>
          <w:p>
            <w:pPr>
              <w:spacing w:before="0" w:after="0" w:line="240" w:lineRule="auto"/>
              <w:jc w:val="center"/>
            </w:pPr>
            <w:r>
              <w:rPr>
                <w:sz w:val="20"/>
              </w:rPr>
            </w:r>
            <w:r>
              <w:rPr>
                <w:rFonts w:ascii="Times New Roman" w:hAnsi="Times New Roman" w:eastAsia="宋体"/>
                <w:b w:val="0"/>
                <w:sz w:val="20"/>
              </w:rPr>
              <w:t>6000</w:t>
            </w:r>
          </w:p>
        </w:tc>
        <w:tc>
          <w:tcPr>
            <w:tcW w:type="dxa" w:w="2767"/>
          </w:tcPr>
          <w:p>
            <w:pPr>
              <w:spacing w:before="0" w:after="0" w:line="240" w:lineRule="auto"/>
              <w:jc w:val="center"/>
            </w:pPr>
            <w:r>
              <w:rPr>
                <w:sz w:val="20"/>
              </w:rPr>
            </w:r>
            <w:r>
              <w:rPr>
                <w:rFonts w:ascii="Times New Roman" w:hAnsi="Times New Roman" w:eastAsia="宋体"/>
                <w:b w:val="0"/>
                <w:sz w:val="20"/>
              </w:rPr>
              <w:t>6000</w:t>
            </w:r>
          </w:p>
        </w:tc>
      </w:tr>
    </w:tbl>
    <w:p>
      <w:pPr>
        <w:spacing w:before="0" w:after="0" w:line="300" w:lineRule="auto"/>
        <w:ind w:firstLine="480"/>
      </w:pPr>
      <w:r>
        <w:rPr>
          <w:rFonts w:ascii="Times New Roman" w:hAnsi="Times New Roman" w:eastAsia="宋体"/>
          <w:b w:val="0"/>
          <w:sz w:val="24"/>
        </w:rPr>
        <w:t>表4给出题面要求的十分钟购电量，表5把连续轨迹压缩成六个四小时区间，便于检查充放电高峰是否与价格低谷和SOC边界一致。</w:t>
      </w:r>
    </w:p>
    <w:p>
      <w:pPr>
        <w:jc w:val="center"/>
      </w:pPr>
      <w:r>
        <w:drawing>
          <wp:inline xmlns:a="http://schemas.openxmlformats.org/drawingml/2006/main" xmlns:pic="http://schemas.openxmlformats.org/drawingml/2006/picture">
            <wp:extent cx="4389120" cy="2140912"/>
            <wp:docPr id="3" name="Picture 3"/>
            <wp:cNvGraphicFramePr>
              <a:graphicFrameLocks noChangeAspect="1"/>
            </wp:cNvGraphicFramePr>
            <a:graphic>
              <a:graphicData uri="http://schemas.openxmlformats.org/drawingml/2006/picture">
                <pic:pic>
                  <pic:nvPicPr>
                    <pic:cNvPr id="0" name="result_q1_dispatch.png"/>
                    <pic:cNvPicPr/>
                  </pic:nvPicPr>
                  <pic:blipFill>
                    <a:blip r:embed="rId11"/>
                    <a:stretch>
                      <a:fillRect/>
                    </a:stretch>
                  </pic:blipFill>
                  <pic:spPr>
                    <a:xfrm>
                      <a:off x="0" y="0"/>
                      <a:ext cx="4389120" cy="2140912"/>
                    </a:xfrm>
                    <a:prstGeom prst="rect"/>
                  </pic:spPr>
                </pic:pic>
              </a:graphicData>
            </a:graphic>
          </wp:inline>
        </w:drawing>
      </w:r>
    </w:p>
    <w:p>
      <w:pPr>
        <w:jc w:val="center"/>
      </w:pPr>
      <w:r>
        <w:t>图3  问题一价格与常规购电量</w:t>
      </w:r>
    </w:p>
    <w:p>
      <w:pPr>
        <w:spacing w:before="0" w:after="0" w:line="300" w:lineRule="auto"/>
        <w:ind w:firstLine="480"/>
      </w:pPr>
      <w:r>
        <w:rPr>
          <w:rFonts w:ascii="Times New Roman" w:hAnsi="Times New Roman" w:eastAsia="宋体"/>
          <w:b w:val="0"/>
          <w:sz w:val="24"/>
        </w:rPr>
        <w:t>图3中橙线为常规购电量、蓝线为价格；橙线在低价时段并不必然为零，因为储能还受到容量、功率和日末SOC约束。</w:t>
      </w:r>
    </w:p>
    <w:p>
      <w:pPr>
        <w:pageBreakBefore/>
        <w:spacing w:before="0" w:after="0" w:line="300" w:lineRule="auto"/>
        <w:jc w:val="center"/>
      </w:pPr>
      <w:r>
        <w:rPr>
          <w:rFonts w:ascii="Times New Roman" w:hAnsi="Times New Roman" w:eastAsia="宋体"/>
          <w:b/>
          <w:sz w:val="32"/>
        </w:rPr>
        <w:t>四、问题二：全年因果预测与日计划</w:t>
      </w:r>
    </w:p>
    <w:p>
      <w:pPr>
        <w:spacing w:before="0" w:after="0" w:line="300" w:lineRule="auto"/>
      </w:pPr>
      <w:r>
        <w:rPr>
          <w:rFonts w:ascii="Times New Roman" w:hAnsi="Times New Roman" w:eastAsia="宋体"/>
          <w:b w:val="0"/>
          <w:sz w:val="28"/>
        </w:rPr>
        <w:t>4.1 负荷与光伏预测</w:t>
      </w:r>
    </w:p>
    <w:p>
      <w:pPr>
        <w:spacing w:before="0" w:after="0" w:line="300" w:lineRule="auto"/>
        <w:ind w:firstLine="480"/>
      </w:pPr>
      <w:r>
        <w:rPr>
          <w:rFonts w:ascii="Times New Roman" w:hAnsi="Times New Roman" w:eastAsia="宋体"/>
          <w:b w:val="0"/>
          <w:sz w:val="24"/>
        </w:rPr>
        <w:t>问题二每天0:00只能使用目标日前已经发生的样本。负荷预测先把历史同类型日分成日电量水平和归一化日内形状：对目标日d取最近至多8个同星期样本；若同类样本少于3天，则退回最近8天。分别对日电量和形状取中位数并重新归一化，最后恢复到十分钟功率：</w:t>
      </w:r>
    </w:p>
    <w:p>
      <w:pPr>
        <w:spacing w:before="0" w:after="0" w:line="300" w:lineRule="auto"/>
        <w:jc w:val="center"/>
      </w:pPr>
      <m:oMathPara>
        <m:oMath>
          <m:sSub>
            <m:e>
              <m:acc>
                <m:accPr>
                  <m:chr m:val="̂"/>
                </m:accPr>
                <m:e>
                  <m:r>
                    <m:t>L</m:t>
                  </m:r>
                </m:e>
              </m:acc>
            </m:e>
            <m:sub>
              <m:r>
                <m:t>d,t</m:t>
              </m:r>
            </m:sub>
          </m:sSub>
          <m:r>
            <m:t>=</m:t>
          </m:r>
          <m:sSub>
            <m:e>
              <m:acc>
                <m:accPr>
                  <m:chr m:val="̂"/>
                </m:accPr>
                <m:e>
                  <m:r>
                    <m:t>B</m:t>
                  </m:r>
                </m:e>
              </m:acc>
            </m:e>
            <m:sub>
              <m:r>
                <m:t>d</m:t>
              </m:r>
            </m:sub>
          </m:sSub>
          <m:sSub>
            <m:e>
              <m:acc>
                <m:accPr>
                  <m:chr m:val="̂"/>
                </m:accPr>
                <m:e>
                  <m:r>
                    <m:t>s</m:t>
                  </m:r>
                </m:e>
              </m:acc>
            </m:e>
            <m:sub>
              <m:r>
                <m:t>d,t</m:t>
              </m:r>
            </m:sub>
          </m:sSub>
          <m:r>
            <m:t>/</m:t>
          </m:r>
          <m:r>
            <m:t>Δ</m:t>
          </m:r>
          <m:r>
            <m:t xml:space="preserve"> t,</m:t>
          </m:r>
          <m:r>
            <m:t xml:space="preserve">  </m:t>
          </m:r>
          <m:sSub>
            <m:e>
              <m:r>
                <m:t>∑</m:t>
              </m:r>
            </m:e>
            <m:sub>
              <m:r>
                <m:t>t</m:t>
              </m:r>
            </m:sub>
          </m:sSub>
          <m:sSub>
            <m:e>
              <m:acc>
                <m:accPr>
                  <m:chr m:val="̂"/>
                </m:accPr>
                <m:e>
                  <m:r>
                    <m:t>s</m:t>
                  </m:r>
                </m:e>
              </m:acc>
            </m:e>
            <m:sub>
              <m:r>
                <m:t>d,t</m:t>
              </m:r>
            </m:sub>
          </m:sSub>
          <m:r>
            <m:t>Δ</m:t>
          </m:r>
          <m:r>
            <m:t xml:space="preserve"> t=1</m:t>
          </m:r>
        </m:oMath>
      </m:oMathPara>
    </w:p>
    <w:p>
      <w:pPr>
        <w:spacing w:before="0" w:after="0" w:line="300" w:lineRule="auto"/>
        <w:ind w:firstLine="480"/>
      </w:pPr>
      <w:r>
        <w:rPr>
          <w:rFonts w:ascii="Times New Roman" w:hAnsi="Times New Roman" w:eastAsia="宋体"/>
          <w:b w:val="0"/>
          <w:sz w:val="24"/>
        </w:rPr>
        <w:t>光伏预测取目标日前三日实际功率的逐时中位数，再乘0.9作为计划侧保守系数；这个系数只改变计划输入，实际光伏仍在回放时使用。表6比较日电量—形状负荷预测与逐时七日中位数基线，以及三日、七日光伏中位数。MAE和偏差单位为kW，MAPE按实际值设置小分母下限，避免夜间光伏接近0时被少数点主导。</w:t>
      </w:r>
    </w:p>
    <w:p>
      <w:r>
        <w:t>表6  因果预测诊断（334天平均）</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075"/>
        <w:gridCol w:w="2075"/>
        <w:gridCol w:w="2075"/>
        <w:gridCol w:w="2075"/>
      </w:tblGrid>
      <w:tr>
        <w:tc>
          <w:tcPr>
            <w:tcW w:type="dxa" w:w="2075"/>
            <w:tcBorders>
              <w:bottom w:val="single" w:sz="4" w:space="0" w:color="000000"/>
            </w:tcBorders>
          </w:tcPr>
          <w:p>
            <w:pPr>
              <w:jc w:val="center"/>
            </w:pPr>
            <w:r/>
            <w:r>
              <w:rPr>
                <w:rFonts w:ascii="Times New Roman" w:hAnsi="Times New Roman" w:eastAsia="宋体"/>
                <w:b/>
                <w:sz w:val="24"/>
              </w:rPr>
              <w:t>序列</w:t>
            </w:r>
          </w:p>
        </w:tc>
        <w:tc>
          <w:tcPr>
            <w:tcW w:type="dxa" w:w="2075"/>
            <w:tcBorders>
              <w:bottom w:val="single" w:sz="4" w:space="0" w:color="000000"/>
            </w:tcBorders>
          </w:tcPr>
          <w:p>
            <w:pPr>
              <w:jc w:val="center"/>
            </w:pPr>
            <w:r/>
            <w:r>
              <w:rPr>
                <w:rFonts w:ascii="Times New Roman" w:hAnsi="Times New Roman" w:eastAsia="宋体"/>
                <w:b/>
                <w:sz w:val="24"/>
              </w:rPr>
              <w:t>MAE</w:t>
            </w:r>
          </w:p>
        </w:tc>
        <w:tc>
          <w:tcPr>
            <w:tcW w:type="dxa" w:w="2075"/>
            <w:tcBorders>
              <w:bottom w:val="single" w:sz="4" w:space="0" w:color="000000"/>
            </w:tcBorders>
          </w:tcPr>
          <w:p>
            <w:pPr>
              <w:jc w:val="center"/>
            </w:pPr>
            <w:r/>
            <w:r>
              <w:rPr>
                <w:rFonts w:ascii="Times New Roman" w:hAnsi="Times New Roman" w:eastAsia="宋体"/>
                <w:b/>
                <w:sz w:val="24"/>
              </w:rPr>
              <w:t>MAPE/%</w:t>
            </w:r>
          </w:p>
        </w:tc>
        <w:tc>
          <w:tcPr>
            <w:tcW w:type="dxa" w:w="2075"/>
            <w:tcBorders>
              <w:bottom w:val="single" w:sz="4" w:space="0" w:color="000000"/>
            </w:tcBorders>
          </w:tcPr>
          <w:p>
            <w:pPr>
              <w:jc w:val="center"/>
            </w:pPr>
            <w:r/>
            <w:r>
              <w:rPr>
                <w:rFonts w:ascii="Times New Roman" w:hAnsi="Times New Roman" w:eastAsia="宋体"/>
                <w:b/>
                <w:sz w:val="24"/>
              </w:rPr>
              <w:t>偏差</w:t>
            </w:r>
          </w:p>
        </w:tc>
      </w:tr>
      <w:tr>
        <w:tc>
          <w:tcPr>
            <w:tcW w:type="dxa" w:w="2075"/>
          </w:tcPr>
          <w:p>
            <w:pPr>
              <w:jc w:val="center"/>
            </w:pPr>
            <w:r/>
            <w:r>
              <w:rPr>
                <w:rFonts w:ascii="Times New Roman" w:hAnsi="Times New Roman" w:eastAsia="宋体"/>
                <w:b w:val="0"/>
                <w:sz w:val="24"/>
              </w:rPr>
              <w:t>load_level_shape</w:t>
            </w:r>
          </w:p>
        </w:tc>
        <w:tc>
          <w:tcPr>
            <w:tcW w:type="dxa" w:w="2075"/>
          </w:tcPr>
          <w:p>
            <w:pPr>
              <w:jc w:val="center"/>
            </w:pPr>
            <w:r/>
            <w:r>
              <w:rPr>
                <w:rFonts w:ascii="Times New Roman" w:hAnsi="Times New Roman" w:eastAsia="宋体"/>
                <w:b w:val="0"/>
                <w:sz w:val="24"/>
              </w:rPr>
              <w:t>265.671</w:t>
            </w:r>
          </w:p>
        </w:tc>
        <w:tc>
          <w:tcPr>
            <w:tcW w:type="dxa" w:w="2075"/>
          </w:tcPr>
          <w:p>
            <w:pPr>
              <w:jc w:val="center"/>
            </w:pPr>
            <w:r/>
            <w:r>
              <w:rPr>
                <w:rFonts w:ascii="Times New Roman" w:hAnsi="Times New Roman" w:eastAsia="宋体"/>
                <w:b w:val="0"/>
                <w:sz w:val="24"/>
              </w:rPr>
              <w:t>6.153</w:t>
            </w:r>
          </w:p>
        </w:tc>
        <w:tc>
          <w:tcPr>
            <w:tcW w:type="dxa" w:w="2075"/>
          </w:tcPr>
          <w:p>
            <w:pPr>
              <w:jc w:val="center"/>
            </w:pPr>
            <w:r/>
            <w:r>
              <w:rPr>
                <w:rFonts w:ascii="Times New Roman" w:hAnsi="Times New Roman" w:eastAsia="宋体"/>
                <w:b w:val="0"/>
                <w:sz w:val="24"/>
              </w:rPr>
              <w:t>5.778</w:t>
            </w:r>
          </w:p>
        </w:tc>
      </w:tr>
      <w:tr>
        <w:tc>
          <w:tcPr>
            <w:tcW w:type="dxa" w:w="2075"/>
          </w:tcPr>
          <w:p>
            <w:pPr>
              <w:jc w:val="center"/>
            </w:pPr>
            <w:r/>
            <w:r>
              <w:rPr>
                <w:rFonts w:ascii="Times New Roman" w:hAnsi="Times New Roman" w:eastAsia="宋体"/>
                <w:b w:val="0"/>
                <w:sz w:val="24"/>
              </w:rPr>
              <w:t>load_median7</w:t>
            </w:r>
          </w:p>
        </w:tc>
        <w:tc>
          <w:tcPr>
            <w:tcW w:type="dxa" w:w="2075"/>
          </w:tcPr>
          <w:p>
            <w:pPr>
              <w:jc w:val="center"/>
            </w:pPr>
            <w:r/>
            <w:r>
              <w:rPr>
                <w:rFonts w:ascii="Times New Roman" w:hAnsi="Times New Roman" w:eastAsia="宋体"/>
                <w:b w:val="0"/>
                <w:sz w:val="24"/>
              </w:rPr>
              <w:t>626.939</w:t>
            </w:r>
          </w:p>
        </w:tc>
        <w:tc>
          <w:tcPr>
            <w:tcW w:type="dxa" w:w="2075"/>
          </w:tcPr>
          <w:p>
            <w:pPr>
              <w:jc w:val="center"/>
            </w:pPr>
            <w:r/>
            <w:r>
              <w:rPr>
                <w:rFonts w:ascii="Times New Roman" w:hAnsi="Times New Roman" w:eastAsia="宋体"/>
                <w:b w:val="0"/>
                <w:sz w:val="24"/>
              </w:rPr>
              <w:t>17.987</w:t>
            </w:r>
          </w:p>
        </w:tc>
        <w:tc>
          <w:tcPr>
            <w:tcW w:type="dxa" w:w="2075"/>
          </w:tcPr>
          <w:p>
            <w:pPr>
              <w:jc w:val="center"/>
            </w:pPr>
            <w:r/>
            <w:r>
              <w:rPr>
                <w:rFonts w:ascii="Times New Roman" w:hAnsi="Times New Roman" w:eastAsia="宋体"/>
                <w:b w:val="0"/>
                <w:sz w:val="24"/>
              </w:rPr>
              <w:t>473.977</w:t>
            </w:r>
          </w:p>
        </w:tc>
      </w:tr>
      <w:tr>
        <w:tc>
          <w:tcPr>
            <w:tcW w:type="dxa" w:w="2075"/>
          </w:tcPr>
          <w:p>
            <w:pPr>
              <w:jc w:val="center"/>
            </w:pPr>
            <w:r/>
            <w:r>
              <w:rPr>
                <w:rFonts w:ascii="Times New Roman" w:hAnsi="Times New Roman" w:eastAsia="宋体"/>
                <w:b w:val="0"/>
                <w:sz w:val="24"/>
              </w:rPr>
              <w:t>pv_median3</w:t>
            </w:r>
          </w:p>
        </w:tc>
        <w:tc>
          <w:tcPr>
            <w:tcW w:type="dxa" w:w="2075"/>
          </w:tcPr>
          <w:p>
            <w:pPr>
              <w:jc w:val="center"/>
            </w:pPr>
            <w:r/>
            <w:r>
              <w:rPr>
                <w:rFonts w:ascii="Times New Roman" w:hAnsi="Times New Roman" w:eastAsia="宋体"/>
                <w:b w:val="0"/>
                <w:sz w:val="24"/>
              </w:rPr>
              <w:t>161.906</w:t>
            </w:r>
          </w:p>
        </w:tc>
        <w:tc>
          <w:tcPr>
            <w:tcW w:type="dxa" w:w="2075"/>
          </w:tcPr>
          <w:p>
            <w:pPr>
              <w:jc w:val="center"/>
            </w:pPr>
            <w:r/>
            <w:r>
              <w:rPr>
                <w:rFonts w:ascii="Times New Roman" w:hAnsi="Times New Roman" w:eastAsia="宋体"/>
                <w:b w:val="0"/>
                <w:sz w:val="24"/>
              </w:rPr>
              <w:t>4.027</w:t>
            </w:r>
          </w:p>
        </w:tc>
        <w:tc>
          <w:tcPr>
            <w:tcW w:type="dxa" w:w="2075"/>
          </w:tcPr>
          <w:p>
            <w:pPr>
              <w:jc w:val="center"/>
            </w:pPr>
            <w:r/>
            <w:r>
              <w:rPr>
                <w:rFonts w:ascii="Times New Roman" w:hAnsi="Times New Roman" w:eastAsia="宋体"/>
                <w:b w:val="0"/>
                <w:sz w:val="24"/>
              </w:rPr>
              <w:t>2.702</w:t>
            </w:r>
          </w:p>
        </w:tc>
      </w:tr>
      <w:tr>
        <w:tc>
          <w:tcPr>
            <w:tcW w:type="dxa" w:w="2075"/>
          </w:tcPr>
          <w:p>
            <w:pPr>
              <w:jc w:val="center"/>
            </w:pPr>
            <w:r/>
            <w:r>
              <w:rPr>
                <w:rFonts w:ascii="Times New Roman" w:hAnsi="Times New Roman" w:eastAsia="宋体"/>
                <w:b w:val="0"/>
                <w:sz w:val="24"/>
              </w:rPr>
              <w:t>pv_median7</w:t>
            </w:r>
          </w:p>
        </w:tc>
        <w:tc>
          <w:tcPr>
            <w:tcW w:type="dxa" w:w="2075"/>
          </w:tcPr>
          <w:p>
            <w:pPr>
              <w:jc w:val="center"/>
            </w:pPr>
            <w:r/>
            <w:r>
              <w:rPr>
                <w:rFonts w:ascii="Times New Roman" w:hAnsi="Times New Roman" w:eastAsia="宋体"/>
                <w:b w:val="0"/>
                <w:sz w:val="24"/>
              </w:rPr>
              <w:t>157.833</w:t>
            </w:r>
          </w:p>
        </w:tc>
        <w:tc>
          <w:tcPr>
            <w:tcW w:type="dxa" w:w="2075"/>
          </w:tcPr>
          <w:p>
            <w:pPr>
              <w:jc w:val="center"/>
            </w:pPr>
            <w:r/>
            <w:r>
              <w:rPr>
                <w:rFonts w:ascii="Times New Roman" w:hAnsi="Times New Roman" w:eastAsia="宋体"/>
                <w:b w:val="0"/>
                <w:sz w:val="24"/>
              </w:rPr>
              <w:t>4.697</w:t>
            </w:r>
          </w:p>
        </w:tc>
        <w:tc>
          <w:tcPr>
            <w:tcW w:type="dxa" w:w="2075"/>
          </w:tcPr>
          <w:p>
            <w:pPr>
              <w:jc w:val="center"/>
            </w:pPr>
            <w:r/>
            <w:r>
              <w:rPr>
                <w:rFonts w:ascii="Times New Roman" w:hAnsi="Times New Roman" w:eastAsia="宋体"/>
                <w:b w:val="0"/>
                <w:sz w:val="24"/>
              </w:rPr>
              <w:t>5.388</w:t>
            </w:r>
          </w:p>
        </w:tc>
      </w:tr>
    </w:tbl>
    <w:p>
      <w:pPr>
        <w:spacing w:before="0" w:after="0" w:line="300" w:lineRule="auto"/>
        <w:ind w:firstLine="480"/>
      </w:pPr>
      <w:r>
        <w:rPr>
          <w:rFonts w:ascii="Times New Roman" w:hAnsi="Times New Roman" w:eastAsia="宋体"/>
          <w:b w:val="0"/>
          <w:sz w:val="24"/>
        </w:rPr>
        <w:t>表6显示，日电量—形状分解把负荷MAE从626.9 kW降至265.7 kW，MAPE从17.99%降至6.15%，且平均偏差接近0。三日光伏中位数的MAPE和偏差分别为4.03%和2.70 kW，七日中位数的MAE略低但响应更慢，因此计划采用三日窗口。这里的比较是在同一334天回测窗口上的诊断，不能当作独立测试集上的泛化证明；正式应用还应采用嵌套滚动验证。</w:t>
      </w:r>
    </w:p>
    <w:p>
      <w:pPr>
        <w:spacing w:before="0" w:after="0" w:line="300" w:lineRule="auto"/>
      </w:pPr>
      <w:r>
        <w:rPr>
          <w:rFonts w:ascii="Times New Roman" w:hAnsi="Times New Roman" w:eastAsia="宋体"/>
          <w:b w:val="0"/>
          <w:sz w:val="28"/>
        </w:rPr>
        <w:t>4.2 计划执行与紧急结算</w:t>
      </w:r>
    </w:p>
    <w:p>
      <w:pPr>
        <w:spacing w:before="0" w:after="0" w:line="300" w:lineRule="auto"/>
        <w:ind w:firstLine="480"/>
      </w:pPr>
      <w:r>
        <w:rPr>
          <w:rFonts w:ascii="Times New Roman" w:hAnsi="Times New Roman" w:eastAsia="宋体"/>
          <w:b w:val="0"/>
          <w:sz w:val="24"/>
        </w:rPr>
        <w:t>对每个评估日，先用预测负荷、保守光伏和固定电价求解计划，日末SOC不强制回到日初而是传给下一天。计划模型中的紧急购电只作为带5倍价格惩罚的可行性松弛；实际执行时固定q、c、d，重新代入实际负荷和实际光伏计算缺口。若实际负荷减去实际光伏、常规购电和储能放电后仍有缺口，则</w:t>
      </w:r>
    </w:p>
    <w:p>
      <w:pPr>
        <w:spacing w:before="0" w:after="0" w:line="300" w:lineRule="auto"/>
        <w:jc w:val="center"/>
      </w:pPr>
      <m:oMathPara>
        <m:oMath>
          <m:sSub>
            <m:e>
              <m:r>
                <m:t>e</m:t>
              </m:r>
            </m:e>
            <m:sub>
              <m:r>
                <m:t>t</m:t>
              </m:r>
            </m:sub>
          </m:sSub>
          <m:sSub>
            <m:e>
              <m:r>
                <m:t>=[L</m:t>
              </m:r>
            </m:e>
            <m:sub>
              <m:r>
                <m:t>t</m:t>
              </m:r>
            </m:sub>
          </m:sSub>
          <m:r>
            <m:t>Δ</m:t>
          </m:r>
          <m:sSub>
            <m:e>
              <m:r>
                <m:t xml:space="preserve"> t-G</m:t>
              </m:r>
            </m:e>
            <m:sub>
              <m:r>
                <m:t>t</m:t>
              </m:r>
            </m:sub>
          </m:sSub>
          <m:r>
            <m:t>Δ</m:t>
          </m:r>
          <m:sSub>
            <m:e>
              <m:r>
                <m:t xml:space="preserve"> t-q</m:t>
              </m:r>
            </m:e>
            <m:sub>
              <m:r>
                <m:t>t</m:t>
              </m:r>
            </m:sub>
          </m:sSub>
          <m:sSub>
            <m:e>
              <m:r>
                <m:t>-c</m:t>
              </m:r>
            </m:e>
            <m:sub>
              <m:r>
                <m:t>t</m:t>
              </m:r>
            </m:sub>
          </m:sSub>
          <m:sSub>
            <m:e>
              <m:r>
                <m:t>+d</m:t>
              </m:r>
            </m:e>
            <m:sub>
              <m:r>
                <m:t>t</m:t>
              </m:r>
            </m:sub>
          </m:sSub>
          <m:sSup>
            <m:e>
              <m:r>
                <m:t>]</m:t>
              </m:r>
            </m:e>
            <m:sup>
              <m:r>
                <m:t>+</m:t>
              </m:r>
            </m:sup>
          </m:sSup>
        </m:oMath>
      </m:oMathPara>
    </w:p>
    <w:p>
      <w:pPr>
        <w:spacing w:before="0" w:after="0" w:line="300" w:lineRule="auto"/>
        <w:ind w:firstLine="480"/>
      </w:pPr>
      <w:r>
        <w:rPr>
          <w:rFonts w:ascii="Times New Roman" w:hAnsi="Times New Roman" w:eastAsia="宋体"/>
          <w:b w:val="0"/>
          <w:sz w:val="24"/>
        </w:rPr>
        <w:t>相应的Q2账单为常规购电费与5倍价格紧急费之和。这样把预测阶段的决策和事后阶段的结算分开，避免把实际值提前泄漏到计划。</w:t>
      </w:r>
    </w:p>
    <w:p>
      <w:pPr>
        <w:spacing w:before="0" w:after="0" w:line="300" w:lineRule="auto"/>
        <w:ind w:firstLine="480"/>
      </w:pPr>
      <w:r>
        <w:rPr>
          <w:rFonts w:ascii="Times New Roman" w:hAnsi="Times New Roman" w:eastAsia="宋体"/>
          <w:b w:val="0"/>
          <w:sz w:val="24"/>
        </w:rPr>
        <w:t>Q2全年费用为16206550.45元，紧急购电量为789872.052 kWh。其中316个评估日出现正的紧急购电量，占334个评估日的94.61%；紧急费为3028296.91元，占Q2总费用的18.69%。紧急购电量的中位数为772.785 kWh，P95为9469.708 kWh，峰值集中在夏季高负荷日；完整逐时计划与紧急时段写入results/result2.xlsx。</w:t>
      </w:r>
    </w:p>
    <w:p>
      <w:pPr>
        <w:jc w:val="center"/>
      </w:pPr>
      <w:r>
        <w:drawing>
          <wp:inline xmlns:a="http://schemas.openxmlformats.org/drawingml/2006/main" xmlns:pic="http://schemas.openxmlformats.org/drawingml/2006/picture">
            <wp:extent cx="4389120" cy="2140912"/>
            <wp:docPr id="4" name="Picture 4"/>
            <wp:cNvGraphicFramePr>
              <a:graphicFrameLocks noChangeAspect="1"/>
            </wp:cNvGraphicFramePr>
            <a:graphic>
              <a:graphicData uri="http://schemas.openxmlformats.org/drawingml/2006/picture">
                <pic:pic>
                  <pic:nvPicPr>
                    <pic:cNvPr id="0" name="raw_q2_q3_q4_emergency.png"/>
                    <pic:cNvPicPr/>
                  </pic:nvPicPr>
                  <pic:blipFill>
                    <a:blip r:embed="rId12"/>
                    <a:stretch>
                      <a:fillRect/>
                    </a:stretch>
                  </pic:blipFill>
                  <pic:spPr>
                    <a:xfrm>
                      <a:off x="0" y="0"/>
                      <a:ext cx="4389120" cy="2140912"/>
                    </a:xfrm>
                    <a:prstGeom prst="rect"/>
                  </pic:spPr>
                </pic:pic>
              </a:graphicData>
            </a:graphic>
          </wp:inline>
        </w:drawing>
      </w:r>
    </w:p>
    <w:p>
      <w:pPr>
        <w:jc w:val="center"/>
      </w:pPr>
      <w:r>
        <w:t>图4  Q2、Q3与Q4-2全年紧急购电量</w:t>
      </w:r>
    </w:p>
    <w:p>
      <w:pPr>
        <w:spacing w:before="0" w:after="0" w:line="300" w:lineRule="auto"/>
        <w:ind w:firstLine="480"/>
      </w:pPr>
      <w:r>
        <w:rPr>
          <w:rFonts w:ascii="Times New Roman" w:hAnsi="Times New Roman" w:eastAsia="宋体"/>
          <w:b w:val="0"/>
          <w:sz w:val="24"/>
        </w:rPr>
        <w:t>图4把三个场景放在同一坐标中作对照：Q2曲线反映日计划在预测误差下的缺口，Q3曲线包含滚动调整后的执行轨迹，Q4-2只改变价格序列。图中跨场景的数量比较用于解释预测与信息更新时间，费用差异仍需结合各自价格和结算规则判断。</w:t>
      </w:r>
    </w:p>
    <w:p>
      <w:pPr>
        <w:spacing w:before="0" w:after="0" w:line="300" w:lineRule="auto"/>
        <w:ind w:firstLine="480"/>
      </w:pPr>
      <w:r>
        <w:rPr>
          <w:rFonts w:ascii="Times New Roman" w:hAnsi="Times New Roman" w:eastAsia="宋体"/>
          <w:b w:val="0"/>
          <w:sz w:val="24"/>
        </w:rPr>
        <w:t>紧急量是固定计划、实际负荷和实际光伏共同作用的残差，并不等同于单一预测指标。即使负荷MAE较低，若误差发生在储能已经接近下界或光伏快速下降的时段，仍可能形成较大的缺口；因此本题同时保留紧急购电量、紧急费用和日费用分布三个评价维度。</w:t>
      </w:r>
    </w:p>
    <w:p>
      <w:pPr>
        <w:spacing w:before="0" w:after="0" w:line="300" w:lineRule="auto"/>
        <w:ind w:firstLine="480"/>
      </w:pPr>
      <w:r>
        <w:rPr>
          <w:rFonts w:ascii="Times New Roman" w:hAnsi="Times New Roman" w:eastAsia="宋体"/>
          <w:b w:val="0"/>
          <w:sz w:val="24"/>
        </w:rPr>
        <w:t>Q2中94.61%的评估日出现正紧急购电量，说明单日计划对预测误差仍较敏感；中位数772.785 kWh而P95达到9469.708 kWh，表明风险具有明显长尾。这个现象支持后文的保守系数敏感性分析，也提醒我们不能只报告全年平均费用。由于回测只覆盖一个年度且采用单一路径中位数预测，Q2结果应解释为当前附件下的可复现实验基线，而不是对其他年份的无偏保证。</w:t>
      </w:r>
    </w:p>
    <w:p>
      <w:pPr>
        <w:pageBreakBefore/>
        <w:spacing w:before="0" w:after="0" w:line="300" w:lineRule="auto"/>
        <w:jc w:val="center"/>
      </w:pPr>
      <w:r>
        <w:rPr>
          <w:rFonts w:ascii="Times New Roman" w:hAnsi="Times New Roman" w:eastAsia="宋体"/>
          <w:b/>
          <w:sz w:val="32"/>
        </w:rPr>
        <w:t>五、问题三：多时刻预报与滚动调整</w:t>
      </w:r>
    </w:p>
    <w:p>
      <w:pPr>
        <w:spacing w:before="0" w:after="0" w:line="300" w:lineRule="auto"/>
      </w:pPr>
      <w:r>
        <w:rPr>
          <w:rFonts w:ascii="Times New Roman" w:hAnsi="Times New Roman" w:eastAsia="宋体"/>
          <w:b w:val="0"/>
          <w:sz w:val="28"/>
        </w:rPr>
        <w:t>5.1 锁定前缀的滚动策略</w:t>
      </w:r>
    </w:p>
    <w:p>
      <w:pPr>
        <w:spacing w:before="0" w:after="0" w:line="300" w:lineRule="auto"/>
        <w:ind w:firstLine="480"/>
      </w:pPr>
      <w:r>
        <w:rPr>
          <w:rFonts w:ascii="Times New Roman" w:hAnsi="Times New Roman" w:eastAsia="宋体"/>
          <w:b w:val="0"/>
          <w:sz w:val="24"/>
        </w:rPr>
        <w:t>每天0:00使用首份24小时预报生成计划q^0；在6:00、12:00、18:00收到新预报后，只对尚未执行的时段重新求解。设四次重优化起点为0、36、72、108个十分钟步，已执行前缀的q、c、d和SOC均保持不变，当前末状态作为下一次优化的初始状态。每次求解的剩余窗口分别为24、18、12和6小时；这一实现把信息到达时间写进算法，而不是用全天真实光伏回填历史决策。</w:t>
      </w:r>
    </w:p>
    <w:p>
      <w:pPr>
        <w:spacing w:before="0" w:after="0" w:line="300" w:lineRule="auto"/>
        <w:jc w:val="center"/>
      </w:pPr>
      <m:oMathPara>
        <m:oMath>
          <m:sSubSup>
            <m:e>
              <m:r>
                <m:t>x</m:t>
              </m:r>
            </m:e>
            <m:sub>
              <m:r>
                <m:t>t</m:t>
              </m:r>
            </m:sub>
            <m:sup>
              <m:r>
                <m:t>(k)</m:t>
              </m:r>
            </m:sup>
          </m:sSubSup>
          <m:sSubSup>
            <m:e>
              <m:r>
                <m:t>=x</m:t>
              </m:r>
            </m:e>
            <m:sub>
              <m:r>
                <m:t>t</m:t>
              </m:r>
            </m:sub>
            <m:sup>
              <m:r>
                <m:t>exec</m:t>
              </m:r>
            </m:sup>
          </m:sSubSup>
          <m:r>
            <m:t xml:space="preserve"> </m:t>
          </m:r>
          <m:r>
            <m:t>(t&lt;</m:t>
          </m:r>
          <m:sSub>
            <m:e>
              <m:r>
                <m:t>τ</m:t>
              </m:r>
            </m:e>
            <m:sub>
              <m:r>
                <m:t>k</m:t>
              </m:r>
            </m:sub>
          </m:sSub>
          <m:r>
            <m:t>),</m:t>
          </m:r>
          <m:r>
            <m:t xml:space="preserve">  </m:t>
          </m:r>
          <m:r>
            <m:t xml:space="preserve"> </m:t>
          </m:r>
          <m:sSub>
            <m:e>
              <m:r>
                <m:t>τ</m:t>
              </m:r>
            </m:e>
            <m:sub>
              <m:r>
                <m:t>k</m:t>
              </m:r>
            </m:sub>
          </m:sSub>
          <m:r>
            <m:t>∈</m:t>
          </m:r>
          <m:r>
            <m:t>{</m:t>
          </m:r>
          <m:r>
            <m:t>0,36,72,108</m:t>
          </m:r>
          <m:r>
            <m:t>}</m:t>
          </m:r>
          <m:r>
            <m:t>,</m:t>
          </m:r>
          <m:r>
            <m:t xml:space="preserve">  </m:t>
          </m:r>
          <m:r>
            <m:t xml:space="preserve"> x=(q,c,d,S)</m:t>
          </m:r>
        </m:oMath>
      </m:oMathPara>
    </w:p>
    <w:p>
      <w:pPr>
        <w:spacing w:before="0" w:after="0" w:line="300" w:lineRule="auto"/>
        <w:ind w:firstLine="480"/>
      </w:pPr>
      <w:r>
        <w:rPr>
          <w:rFonts w:ascii="Times New Roman" w:hAnsi="Times New Roman" w:eastAsia="宋体"/>
          <w:b w:val="0"/>
          <w:sz w:val="24"/>
        </w:rPr>
        <w:t>式中τ_k是第k次预报发布对应的十分钟索引。求解器只对τ_k之后的后缀优化，并把前缀末端SOC作为边界；因此每次更新既能利用新预报，又不会篡改已经发生的购电和储能动作。负荷仍沿用问题二的日期因果预测，Q3新增的信息只作用于光伏后缀。</w:t>
      </w:r>
    </w:p>
    <w:p>
      <w:pPr>
        <w:spacing w:before="0" w:after="0" w:line="300" w:lineRule="auto"/>
      </w:pPr>
      <w:r>
        <w:rPr>
          <w:rFonts w:ascii="Times New Roman" w:hAnsi="Times New Roman" w:eastAsia="宋体"/>
          <w:b w:val="0"/>
          <w:sz w:val="28"/>
        </w:rPr>
        <w:t>5.2 计划—调整结算</w:t>
      </w:r>
    </w:p>
    <w:p>
      <w:pPr>
        <w:spacing w:before="0" w:after="0" w:line="300" w:lineRule="auto"/>
        <w:ind w:firstLine="480"/>
      </w:pPr>
      <w:r>
        <w:rPr>
          <w:rFonts w:ascii="Times New Roman" w:hAnsi="Times New Roman" w:eastAsia="宋体"/>
          <w:b w:val="0"/>
          <w:sz w:val="24"/>
        </w:rPr>
        <w:t>令q_t^a为最终调整计划，q_t^0为0:00基准计划。两者只在尚未执行的后缀上允许不同，题面结算规则写成</w:t>
      </w:r>
    </w:p>
    <w:p>
      <w:pPr>
        <w:spacing w:before="0" w:after="0" w:line="300" w:lineRule="auto"/>
        <w:jc w:val="center"/>
      </w:pPr>
      <m:oMathPara>
        <m:oMath>
          <m:sSub>
            <m:e>
              <m:r>
                <m:t>K</m:t>
              </m:r>
            </m:e>
            <m:sub>
              <m:r>
                <m:t>3</m:t>
              </m:r>
            </m:sub>
          </m:sSub>
          <m:r>
            <m:t>=</m:t>
          </m:r>
          <m:sSub>
            <m:e>
              <m:r>
                <m:t>∑</m:t>
              </m:r>
            </m:e>
            <m:sub>
              <m:r>
                <m:t>t</m:t>
              </m:r>
            </m:sub>
          </m:sSub>
          <m:sSub>
            <m:e>
              <m:r>
                <m:t xml:space="preserve"> p</m:t>
              </m:r>
            </m:e>
            <m:sub>
              <m:r>
                <m:t>t</m:t>
              </m:r>
            </m:sub>
          </m:sSub>
          <m:sSubSup>
            <m:e>
              <m:r>
                <m:t>q</m:t>
              </m:r>
            </m:e>
            <m:sub>
              <m:r>
                <m:t>t</m:t>
              </m:r>
            </m:sub>
            <m:sup>
              <m:r>
                <m:t>0</m:t>
              </m:r>
            </m:sup>
          </m:sSubSup>
          <m:r>
            <m:t>+</m:t>
          </m:r>
          <m:sSub>
            <m:e>
              <m:r>
                <m:t>∑</m:t>
              </m:r>
            </m:e>
            <m:sub>
              <m:r>
                <m:t>t</m:t>
              </m:r>
            </m:sub>
          </m:sSub>
          <m:sSub>
            <m:e>
              <m:r>
                <m:t>0.5p</m:t>
              </m:r>
            </m:e>
            <m:sub>
              <m:r>
                <m:t>t</m:t>
              </m:r>
            </m:sub>
          </m:sSub>
          <m:sSubSup>
            <m:e>
              <m:r>
                <m:t>[q</m:t>
              </m:r>
            </m:e>
            <m:sub>
              <m:r>
                <m:t>t</m:t>
              </m:r>
            </m:sub>
            <m:sup>
              <m:r>
                <m:t>0</m:t>
              </m:r>
            </m:sup>
          </m:sSubSup>
          <m:sSubSup>
            <m:e>
              <m:r>
                <m:t>-q</m:t>
              </m:r>
            </m:e>
            <m:sub>
              <m:r>
                <m:t>t</m:t>
              </m:r>
            </m:sub>
            <m:sup>
              <m:r>
                <m:t>a</m:t>
              </m:r>
            </m:sup>
          </m:sSubSup>
          <m:sSup>
            <m:e>
              <m:r>
                <m:t>]</m:t>
              </m:r>
            </m:e>
            <m:sup>
              <m:r>
                <m:t>+</m:t>
              </m:r>
            </m:sup>
          </m:sSup>
          <m:r>
            <m:t>+</m:t>
          </m:r>
          <m:sSub>
            <m:e>
              <m:r>
                <m:t>∑</m:t>
              </m:r>
            </m:e>
            <m:sub>
              <m:r>
                <m:t>t</m:t>
              </m:r>
            </m:sub>
          </m:sSub>
          <m:sSub>
            <m:e>
              <m:r>
                <m:t>1.5p</m:t>
              </m:r>
            </m:e>
            <m:sub>
              <m:r>
                <m:t>t</m:t>
              </m:r>
            </m:sub>
          </m:sSub>
          <m:sSubSup>
            <m:e>
              <m:r>
                <m:t>[q</m:t>
              </m:r>
            </m:e>
            <m:sub>
              <m:r>
                <m:t>t</m:t>
              </m:r>
            </m:sub>
            <m:sup>
              <m:r>
                <m:t>a</m:t>
              </m:r>
            </m:sup>
          </m:sSubSup>
          <m:sSubSup>
            <m:e>
              <m:r>
                <m:t>-q</m:t>
              </m:r>
            </m:e>
            <m:sub>
              <m:r>
                <m:t>t</m:t>
              </m:r>
            </m:sub>
            <m:sup>
              <m:r>
                <m:t>0</m:t>
              </m:r>
            </m:sup>
          </m:sSubSup>
          <m:sSup>
            <m:e>
              <m:r>
                <m:t>]</m:t>
              </m:r>
            </m:e>
            <m:sup>
              <m:r>
                <m:t>+</m:t>
              </m:r>
            </m:sup>
          </m:sSup>
          <m:r>
            <m:t>+</m:t>
          </m:r>
          <m:sSub>
            <m:e>
              <m:r>
                <m:t>∑</m:t>
              </m:r>
            </m:e>
            <m:sub>
              <m:r>
                <m:t>t</m:t>
              </m:r>
            </m:sub>
          </m:sSub>
          <m:sSub>
            <m:e>
              <m:r>
                <m:t>5p</m:t>
              </m:r>
            </m:e>
            <m:sub>
              <m:r>
                <m:t>t</m:t>
              </m:r>
            </m:sub>
          </m:sSub>
          <m:sSub>
            <m:e>
              <m:r>
                <m:t>e</m:t>
              </m:r>
            </m:e>
            <m:sub>
              <m:r>
                <m:t>t</m:t>
              </m:r>
            </m:sub>
          </m:sSub>
        </m:oMath>
      </m:oMathPara>
    </w:p>
    <w:p>
      <w:pPr>
        <w:spacing w:before="0" w:after="0" w:line="300" w:lineRule="auto"/>
        <w:ind w:firstLine="480"/>
      </w:pPr>
      <w:r>
        <w:rPr>
          <w:rFonts w:ascii="Times New Roman" w:hAnsi="Times New Roman" w:eastAsia="宋体"/>
          <w:b w:val="0"/>
          <w:sz w:val="24"/>
        </w:rPr>
        <w:t>逐日记录基准费、调减费、调增费和紧急费，并检查四项之和。结算时始终以q^0计入基准费，调整部分按计划差额分为调减和调增两项：减少计划量按0.5倍价格计费，增加计划量按1.5倍价格计费，避免把最终调整计划误当作基准计划。</w:t>
      </w:r>
    </w:p>
    <w:p>
      <w:r>
        <w:t>表7  Q3全年结算分项</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分项</w:t>
            </w:r>
          </w:p>
        </w:tc>
        <w:tc>
          <w:tcPr>
            <w:tcW w:type="dxa" w:w="2767"/>
            <w:tcBorders>
              <w:bottom w:val="single" w:sz="4" w:space="0" w:color="000000"/>
            </w:tcBorders>
          </w:tcPr>
          <w:p>
            <w:pPr>
              <w:jc w:val="center"/>
            </w:pPr>
            <w:r/>
            <w:r>
              <w:rPr>
                <w:rFonts w:ascii="Times New Roman" w:hAnsi="Times New Roman" w:eastAsia="宋体"/>
                <w:b/>
                <w:sz w:val="24"/>
              </w:rPr>
              <w:t>全年金额/元</w:t>
            </w:r>
          </w:p>
        </w:tc>
        <w:tc>
          <w:tcPr>
            <w:tcW w:type="dxa" w:w="2767"/>
            <w:tcBorders>
              <w:bottom w:val="single" w:sz="4" w:space="0" w:color="000000"/>
            </w:tcBorders>
          </w:tcPr>
          <w:p>
            <w:pPr>
              <w:jc w:val="center"/>
            </w:pPr>
            <w:r/>
            <w:r>
              <w:rPr>
                <w:rFonts w:ascii="Times New Roman" w:hAnsi="Times New Roman" w:eastAsia="宋体"/>
                <w:b/>
                <w:sz w:val="24"/>
              </w:rPr>
              <w:t>占Q3总费用/%</w:t>
            </w:r>
          </w:p>
        </w:tc>
      </w:tr>
      <w:tr>
        <w:tc>
          <w:tcPr>
            <w:tcW w:type="dxa" w:w="2767"/>
          </w:tcPr>
          <w:p>
            <w:pPr>
              <w:jc w:val="center"/>
            </w:pPr>
            <w:r/>
            <w:r>
              <w:rPr>
                <w:rFonts w:ascii="Times New Roman" w:hAnsi="Times New Roman" w:eastAsia="宋体"/>
                <w:b w:val="0"/>
                <w:sz w:val="24"/>
              </w:rPr>
              <w:t>计划基准费</w:t>
            </w:r>
          </w:p>
        </w:tc>
        <w:tc>
          <w:tcPr>
            <w:tcW w:type="dxa" w:w="2767"/>
          </w:tcPr>
          <w:p>
            <w:pPr>
              <w:jc w:val="center"/>
            </w:pPr>
            <w:r/>
            <w:r>
              <w:rPr>
                <w:rFonts w:ascii="Times New Roman" w:hAnsi="Times New Roman" w:eastAsia="宋体"/>
                <w:b w:val="0"/>
                <w:sz w:val="24"/>
              </w:rPr>
              <w:t>13448632.10</w:t>
            </w:r>
          </w:p>
        </w:tc>
        <w:tc>
          <w:tcPr>
            <w:tcW w:type="dxa" w:w="2767"/>
          </w:tcPr>
          <w:p>
            <w:pPr>
              <w:jc w:val="center"/>
            </w:pPr>
            <w:r/>
            <w:r>
              <w:rPr>
                <w:rFonts w:ascii="Times New Roman" w:hAnsi="Times New Roman" w:eastAsia="宋体"/>
                <w:b w:val="0"/>
                <w:sz w:val="24"/>
              </w:rPr>
              <w:t>73.72</w:t>
            </w:r>
          </w:p>
        </w:tc>
      </w:tr>
      <w:tr>
        <w:tc>
          <w:tcPr>
            <w:tcW w:type="dxa" w:w="2767"/>
          </w:tcPr>
          <w:p>
            <w:pPr>
              <w:jc w:val="center"/>
            </w:pPr>
            <w:r/>
            <w:r>
              <w:rPr>
                <w:rFonts w:ascii="Times New Roman" w:hAnsi="Times New Roman" w:eastAsia="宋体"/>
                <w:b w:val="0"/>
                <w:sz w:val="24"/>
              </w:rPr>
              <w:t>调减费</w:t>
            </w:r>
          </w:p>
        </w:tc>
        <w:tc>
          <w:tcPr>
            <w:tcW w:type="dxa" w:w="2767"/>
          </w:tcPr>
          <w:p>
            <w:pPr>
              <w:jc w:val="center"/>
            </w:pPr>
            <w:r/>
            <w:r>
              <w:rPr>
                <w:rFonts w:ascii="Times New Roman" w:hAnsi="Times New Roman" w:eastAsia="宋体"/>
                <w:b w:val="0"/>
                <w:sz w:val="24"/>
              </w:rPr>
              <w:t>196596.41</w:t>
            </w:r>
          </w:p>
        </w:tc>
        <w:tc>
          <w:tcPr>
            <w:tcW w:type="dxa" w:w="2767"/>
          </w:tcPr>
          <w:p>
            <w:pPr>
              <w:jc w:val="center"/>
            </w:pPr>
            <w:r/>
            <w:r>
              <w:rPr>
                <w:rFonts w:ascii="Times New Roman" w:hAnsi="Times New Roman" w:eastAsia="宋体"/>
                <w:b w:val="0"/>
                <w:sz w:val="24"/>
              </w:rPr>
              <w:t>1.08</w:t>
            </w:r>
          </w:p>
        </w:tc>
      </w:tr>
      <w:tr>
        <w:tc>
          <w:tcPr>
            <w:tcW w:type="dxa" w:w="2767"/>
          </w:tcPr>
          <w:p>
            <w:pPr>
              <w:jc w:val="center"/>
            </w:pPr>
            <w:r/>
            <w:r>
              <w:rPr>
                <w:rFonts w:ascii="Times New Roman" w:hAnsi="Times New Roman" w:eastAsia="宋体"/>
                <w:b w:val="0"/>
                <w:sz w:val="24"/>
              </w:rPr>
              <w:t>调增费</w:t>
            </w:r>
          </w:p>
        </w:tc>
        <w:tc>
          <w:tcPr>
            <w:tcW w:type="dxa" w:w="2767"/>
          </w:tcPr>
          <w:p>
            <w:pPr>
              <w:jc w:val="center"/>
            </w:pPr>
            <w:r/>
            <w:r>
              <w:rPr>
                <w:rFonts w:ascii="Times New Roman" w:hAnsi="Times New Roman" w:eastAsia="宋体"/>
                <w:b w:val="0"/>
                <w:sz w:val="24"/>
              </w:rPr>
              <w:t>461800.93</w:t>
            </w:r>
          </w:p>
        </w:tc>
        <w:tc>
          <w:tcPr>
            <w:tcW w:type="dxa" w:w="2767"/>
          </w:tcPr>
          <w:p>
            <w:pPr>
              <w:jc w:val="center"/>
            </w:pPr>
            <w:r/>
            <w:r>
              <w:rPr>
                <w:rFonts w:ascii="Times New Roman" w:hAnsi="Times New Roman" w:eastAsia="宋体"/>
                <w:b w:val="0"/>
                <w:sz w:val="24"/>
              </w:rPr>
              <w:t>2.53</w:t>
            </w:r>
          </w:p>
        </w:tc>
      </w:tr>
      <w:tr>
        <w:tc>
          <w:tcPr>
            <w:tcW w:type="dxa" w:w="2767"/>
          </w:tcPr>
          <w:p>
            <w:pPr>
              <w:jc w:val="center"/>
            </w:pPr>
            <w:r/>
            <w:r>
              <w:rPr>
                <w:rFonts w:ascii="Times New Roman" w:hAnsi="Times New Roman" w:eastAsia="宋体"/>
                <w:b w:val="0"/>
                <w:sz w:val="24"/>
              </w:rPr>
              <w:t>紧急费</w:t>
            </w:r>
          </w:p>
        </w:tc>
        <w:tc>
          <w:tcPr>
            <w:tcW w:type="dxa" w:w="2767"/>
          </w:tcPr>
          <w:p>
            <w:pPr>
              <w:jc w:val="center"/>
            </w:pPr>
            <w:r/>
            <w:r>
              <w:rPr>
                <w:rFonts w:ascii="Times New Roman" w:hAnsi="Times New Roman" w:eastAsia="宋体"/>
                <w:b w:val="0"/>
                <w:sz w:val="24"/>
              </w:rPr>
              <w:t>4134986.41</w:t>
            </w:r>
          </w:p>
        </w:tc>
        <w:tc>
          <w:tcPr>
            <w:tcW w:type="dxa" w:w="2767"/>
          </w:tcPr>
          <w:p>
            <w:pPr>
              <w:jc w:val="center"/>
            </w:pPr>
            <w:r/>
            <w:r>
              <w:rPr>
                <w:rFonts w:ascii="Times New Roman" w:hAnsi="Times New Roman" w:eastAsia="宋体"/>
                <w:b w:val="0"/>
                <w:sz w:val="24"/>
              </w:rPr>
              <w:t>22.67</w:t>
            </w:r>
          </w:p>
        </w:tc>
      </w:tr>
      <w:tr>
        <w:tc>
          <w:tcPr>
            <w:tcW w:type="dxa" w:w="2767"/>
          </w:tcPr>
          <w:p>
            <w:pPr>
              <w:jc w:val="center"/>
            </w:pPr>
            <w:r/>
            <w:r>
              <w:rPr>
                <w:rFonts w:ascii="Times New Roman" w:hAnsi="Times New Roman" w:eastAsia="宋体"/>
                <w:b w:val="0"/>
                <w:sz w:val="24"/>
              </w:rPr>
              <w:t>合计</w:t>
            </w:r>
          </w:p>
        </w:tc>
        <w:tc>
          <w:tcPr>
            <w:tcW w:type="dxa" w:w="2767"/>
          </w:tcPr>
          <w:p>
            <w:pPr>
              <w:jc w:val="center"/>
            </w:pPr>
            <w:r/>
            <w:r>
              <w:rPr>
                <w:rFonts w:ascii="Times New Roman" w:hAnsi="Times New Roman" w:eastAsia="宋体"/>
                <w:b w:val="0"/>
                <w:sz w:val="24"/>
              </w:rPr>
              <w:t>18242015.85</w:t>
            </w:r>
          </w:p>
        </w:tc>
        <w:tc>
          <w:tcPr>
            <w:tcW w:type="dxa" w:w="2767"/>
          </w:tcPr>
          <w:p>
            <w:pPr>
              <w:jc w:val="center"/>
            </w:pPr>
            <w:r/>
            <w:r>
              <w:rPr>
                <w:rFonts w:ascii="Times New Roman" w:hAnsi="Times New Roman" w:eastAsia="宋体"/>
                <w:b w:val="0"/>
                <w:sz w:val="24"/>
              </w:rPr>
              <w:t>100.00</w:t>
            </w:r>
          </w:p>
        </w:tc>
      </w:tr>
    </w:tbl>
    <w:p>
      <w:pPr>
        <w:spacing w:before="0" w:after="0" w:line="300" w:lineRule="auto"/>
        <w:ind w:firstLine="480"/>
      </w:pPr>
      <w:r>
        <w:rPr>
          <w:rFonts w:ascii="Times New Roman" w:hAnsi="Times New Roman" w:eastAsia="宋体"/>
          <w:b w:val="0"/>
          <w:sz w:val="24"/>
        </w:rPr>
        <w:t>Q3全年费用为18242015.85元，紧急购电量为1066446.282 kWh，计划—调整绝对差额总量为1086921.578 kWh；其中调减量为595786.034 kWh，调增量为491135.544 kWh。</w:t>
      </w:r>
    </w:p>
    <w:p>
      <w:pPr>
        <w:jc w:val="center"/>
      </w:pPr>
      <w:r>
        <w:drawing>
          <wp:inline xmlns:a="http://schemas.openxmlformats.org/drawingml/2006/main" xmlns:pic="http://schemas.openxmlformats.org/drawingml/2006/picture">
            <wp:extent cx="4389120" cy="2140912"/>
            <wp:docPr id="5" name="Picture 5"/>
            <wp:cNvGraphicFramePr>
              <a:graphicFrameLocks noChangeAspect="1"/>
            </wp:cNvGraphicFramePr>
            <a:graphic>
              <a:graphicData uri="http://schemas.openxmlformats.org/drawingml/2006/picture">
                <pic:pic>
                  <pic:nvPicPr>
                    <pic:cNvPr id="0" name="process_q3_adjustment.png"/>
                    <pic:cNvPicPr/>
                  </pic:nvPicPr>
                  <pic:blipFill>
                    <a:blip r:embed="rId13"/>
                    <a:stretch>
                      <a:fillRect/>
                    </a:stretch>
                  </pic:blipFill>
                  <pic:spPr>
                    <a:xfrm>
                      <a:off x="0" y="0"/>
                      <a:ext cx="4389120" cy="2140912"/>
                    </a:xfrm>
                    <a:prstGeom prst="rect"/>
                  </pic:spPr>
                </pic:pic>
              </a:graphicData>
            </a:graphic>
          </wp:inline>
        </w:drawing>
      </w:r>
    </w:p>
    <w:p>
      <w:pPr>
        <w:jc w:val="center"/>
      </w:pPr>
      <w:r>
        <w:t>图5  问题三计划—调整差额与紧急购电量</w:t>
      </w:r>
    </w:p>
    <w:p>
      <w:pPr>
        <w:spacing w:before="0" w:after="0" w:line="300" w:lineRule="auto"/>
        <w:ind w:firstLine="480"/>
      </w:pPr>
      <w:r>
        <w:rPr>
          <w:rFonts w:ascii="Times New Roman" w:hAnsi="Times New Roman" w:eastAsia="宋体"/>
          <w:b w:val="0"/>
          <w:sz w:val="24"/>
        </w:rPr>
        <w:t>表7中计划基准费占Q3总费用的73.72%，调减和调增费用合计占3.61%，紧急费占22.67%。基准计划仍然决定大部分账单，调整并不是把原计划完全替换掉。</w:t>
      </w:r>
    </w:p>
    <w:p>
      <w:pPr>
        <w:spacing w:before="0" w:after="0" w:line="300" w:lineRule="auto"/>
      </w:pPr>
      <w:r>
        <w:rPr>
          <w:rFonts w:ascii="Times New Roman" w:hAnsi="Times New Roman" w:eastAsia="宋体"/>
          <w:b w:val="0"/>
          <w:sz w:val="28"/>
        </w:rPr>
        <w:t>5.3 结果解读与边界</w:t>
      </w:r>
    </w:p>
    <w:p>
      <w:pPr>
        <w:spacing w:before="0" w:after="0" w:line="300" w:lineRule="auto"/>
        <w:ind w:firstLine="480"/>
      </w:pPr>
      <w:r>
        <w:rPr>
          <w:rFonts w:ascii="Times New Roman" w:hAnsi="Times New Roman" w:eastAsia="宋体"/>
          <w:b w:val="0"/>
          <w:sz w:val="24"/>
        </w:rPr>
        <w:t>与Q2相比，Q3全年费用增加2035465.40元（12.56%），紧急购电量增加276574.230 kWh（35.02%），出现正紧急量的日期由316天变为334天。在当前数据和结算规则下，滚动更新没有自动带来更低费用；调整费和新储能轨迹可能抵消信息更新带来的收益。</w:t>
      </w:r>
    </w:p>
    <w:p>
      <w:pPr>
        <w:spacing w:before="0" w:after="0" w:line="300" w:lineRule="auto"/>
        <w:ind w:firstLine="480"/>
      </w:pPr>
      <w:r>
        <w:rPr>
          <w:rFonts w:ascii="Times New Roman" w:hAnsi="Times New Roman" w:eastAsia="宋体"/>
          <w:b w:val="0"/>
          <w:sz w:val="24"/>
        </w:rPr>
        <w:t>图5的计划—调整绝对差与紧急购电量相关系数仅为0.0052，说明多调计划量不必然对应更大的实际缺口。散点图用于揭示这种解耦关系，而不是证明滚动策略具有因果改善；若要比较策略优劣，应在相同日初SOC、价格和信息集下做独立滚动回测，并报告费用、紧急量和调整量的联合分布。</w:t>
      </w:r>
    </w:p>
    <w:p>
      <w:pPr>
        <w:spacing w:before="0" w:after="0" w:line="300" w:lineRule="auto"/>
        <w:ind w:firstLine="480"/>
      </w:pPr>
      <w:r>
        <w:rPr>
          <w:rFonts w:ascii="Times New Roman" w:hAnsi="Times New Roman" w:eastAsia="宋体"/>
          <w:b w:val="0"/>
          <w:sz w:val="24"/>
        </w:rPr>
        <w:t>从执行角度看，滚动策略的价值取决于新预报能否在储能尚有调节余量时改变后缀计划；如果更新到达时SOC已接近边界，或者调整主要发生在高价时段，新增信息会转化为调增费用或紧急费用。因而Q3应被看作带结算摩擦的在线策略实验，不能简单等同于“更新次数越多越好”。</w:t>
      </w:r>
    </w:p>
    <w:p>
      <w:pPr>
        <w:pageBreakBefore/>
        <w:spacing w:before="0" w:after="0" w:line="300" w:lineRule="auto"/>
        <w:jc w:val="center"/>
      </w:pPr>
      <w:r>
        <w:rPr>
          <w:rFonts w:ascii="Times New Roman" w:hAnsi="Times New Roman" w:eastAsia="宋体"/>
          <w:b/>
          <w:sz w:val="32"/>
        </w:rPr>
        <w:t>六、问题四：波动价格下的独立分支</w:t>
      </w:r>
    </w:p>
    <w:p>
      <w:pPr>
        <w:spacing w:before="0" w:after="0" w:line="300" w:lineRule="auto"/>
      </w:pPr>
      <w:r>
        <w:rPr>
          <w:rFonts w:ascii="Times New Roman" w:hAnsi="Times New Roman" w:eastAsia="宋体"/>
          <w:b w:val="0"/>
          <w:sz w:val="28"/>
        </w:rPr>
        <w:t>6.1 问题4-2</w:t>
      </w:r>
    </w:p>
    <w:p>
      <w:pPr>
        <w:spacing w:before="0" w:after="0" w:line="300" w:lineRule="auto"/>
        <w:ind w:firstLine="480"/>
      </w:pPr>
      <w:r>
        <w:rPr>
          <w:rFonts w:ascii="Times New Roman" w:hAnsi="Times New Roman" w:eastAsia="宋体"/>
          <w:b w:val="0"/>
          <w:sz w:val="24"/>
        </w:rPr>
        <w:t>将附件4的144点价格替换问题二中的固定价格序列，保留相同的日期因果预测和跨日SOC传递。附件1固定价格范围为0.3713—1.3952元/kWh，附件4波动价格范围为0.0076—1.7936元/kWh，两者全体均值均约为0.7662元/kWh；价格波动主要改变时段间的相对顺序和尖峰，而非改变平均价格水平。因此Q4-2用于隔离价格时序影响，负荷、光伏预测和储能跨日传递均沿用Q2。</w:t>
      </w:r>
    </w:p>
    <w:p>
      <w:pPr>
        <w:spacing w:before="0" w:after="0" w:line="300" w:lineRule="auto"/>
        <w:ind w:firstLine="480"/>
      </w:pPr>
      <w:r>
        <w:rPr>
          <w:rFonts w:ascii="Times New Roman" w:hAnsi="Times New Roman" w:eastAsia="宋体"/>
          <w:b w:val="0"/>
          <w:sz w:val="24"/>
        </w:rPr>
        <w:t>Q4-2全年费用为16989713.48元，紧急购电量为789872.052 kWh。其紧急购电量与Q2相同，但费用比Q2增加783163.03元（4.83%），紧急费为3258681.15元，占Q4-2总费用的19.18%；这表明动态价格通过结算时点和储能时序进入账单。</w:t>
      </w:r>
    </w:p>
    <w:p>
      <w:pPr>
        <w:spacing w:before="0" w:after="0" w:line="300" w:lineRule="auto"/>
      </w:pPr>
      <w:r>
        <w:rPr>
          <w:rFonts w:ascii="Times New Roman" w:hAnsi="Times New Roman" w:eastAsia="宋体"/>
          <w:b w:val="0"/>
          <w:sz w:val="28"/>
        </w:rPr>
        <w:t>6.2 问题4-3</w:t>
      </w:r>
    </w:p>
    <w:p>
      <w:pPr>
        <w:spacing w:before="0" w:after="0" w:line="300" w:lineRule="auto"/>
        <w:ind w:firstLine="480"/>
      </w:pPr>
      <w:r>
        <w:rPr>
          <w:rFonts w:ascii="Times New Roman" w:hAnsi="Times New Roman" w:eastAsia="宋体"/>
          <w:b w:val="0"/>
          <w:sz w:val="24"/>
        </w:rPr>
        <w:t>在同一波动价格下，重新执行问题三的四次滚动预报和计划—调整结算。Q4-3从与Q4-2相同的日初SOC独立启动，不把Q4-2的日末状态带入Q4-3，从而避免两个实验分支互相污染。Q4-3只把附件4价格代入滚动求解和非对称结算，预测更新时刻、锁定前缀规则和实际缺口计算保持不变。Q4-3全年费用为19577410.54元，紧急购电量为1067444.696 kWh。</w:t>
      </w:r>
    </w:p>
    <w:p>
      <w:r>
        <w:t>表8  四个场景的全年本地回测</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1660"/>
        <w:gridCol w:w="1660"/>
        <w:gridCol w:w="1660"/>
        <w:gridCol w:w="1660"/>
        <w:gridCol w:w="1660"/>
      </w:tblGrid>
      <w:tr>
        <w:tc>
          <w:tcPr>
            <w:tcW w:type="dxa" w:w="1660"/>
            <w:tcBorders>
              <w:bottom w:val="single" w:sz="4" w:space="0" w:color="000000"/>
            </w:tcBorders>
          </w:tcPr>
          <w:p>
            <w:pPr>
              <w:jc w:val="center"/>
            </w:pPr>
            <w:r/>
            <w:r>
              <w:rPr>
                <w:rFonts w:ascii="Times New Roman" w:hAnsi="Times New Roman" w:eastAsia="宋体"/>
                <w:b/>
                <w:sz w:val="24"/>
              </w:rPr>
              <w:t>场景</w:t>
            </w:r>
          </w:p>
        </w:tc>
        <w:tc>
          <w:tcPr>
            <w:tcW w:type="dxa" w:w="1660"/>
            <w:tcBorders>
              <w:bottom w:val="single" w:sz="4" w:space="0" w:color="000000"/>
            </w:tcBorders>
          </w:tcPr>
          <w:p>
            <w:pPr>
              <w:jc w:val="center"/>
            </w:pPr>
            <w:r/>
            <w:r>
              <w:rPr>
                <w:rFonts w:ascii="Times New Roman" w:hAnsi="Times New Roman" w:eastAsia="宋体"/>
                <w:b/>
                <w:sz w:val="24"/>
              </w:rPr>
              <w:t>费用/元</w:t>
            </w:r>
          </w:p>
        </w:tc>
        <w:tc>
          <w:tcPr>
            <w:tcW w:type="dxa" w:w="1660"/>
            <w:tcBorders>
              <w:bottom w:val="single" w:sz="4" w:space="0" w:color="000000"/>
            </w:tcBorders>
          </w:tcPr>
          <w:p>
            <w:pPr>
              <w:jc w:val="center"/>
            </w:pPr>
            <w:r/>
            <w:r>
              <w:rPr>
                <w:rFonts w:ascii="Times New Roman" w:hAnsi="Times New Roman" w:eastAsia="宋体"/>
                <w:b/>
                <w:sz w:val="24"/>
              </w:rPr>
              <w:t>紧急购电/kWh</w:t>
            </w:r>
          </w:p>
        </w:tc>
        <w:tc>
          <w:tcPr>
            <w:tcW w:type="dxa" w:w="1660"/>
            <w:tcBorders>
              <w:bottom w:val="single" w:sz="4" w:space="0" w:color="000000"/>
            </w:tcBorders>
          </w:tcPr>
          <w:p>
            <w:pPr>
              <w:jc w:val="center"/>
            </w:pPr>
            <w:r/>
            <w:r>
              <w:rPr>
                <w:rFonts w:ascii="Times New Roman" w:hAnsi="Times New Roman" w:eastAsia="宋体"/>
                <w:b/>
                <w:sz w:val="24"/>
              </w:rPr>
              <w:t>日费用中位数/元</w:t>
            </w:r>
          </w:p>
        </w:tc>
        <w:tc>
          <w:tcPr>
            <w:tcW w:type="dxa" w:w="1660"/>
            <w:tcBorders>
              <w:bottom w:val="single" w:sz="4" w:space="0" w:color="000000"/>
            </w:tcBorders>
          </w:tcPr>
          <w:p>
            <w:pPr>
              <w:jc w:val="center"/>
            </w:pPr>
            <w:r/>
            <w:r>
              <w:rPr>
                <w:rFonts w:ascii="Times New Roman" w:hAnsi="Times New Roman" w:eastAsia="宋体"/>
                <w:b/>
                <w:sz w:val="24"/>
              </w:rPr>
              <w:t>日费用P95/元</w:t>
            </w:r>
          </w:p>
        </w:tc>
      </w:tr>
      <w:tr>
        <w:tc>
          <w:tcPr>
            <w:tcW w:type="dxa" w:w="1660"/>
          </w:tcPr>
          <w:p>
            <w:pPr>
              <w:jc w:val="center"/>
            </w:pPr>
            <w:r/>
            <w:r>
              <w:rPr>
                <w:rFonts w:ascii="Times New Roman" w:hAnsi="Times New Roman" w:eastAsia="宋体"/>
                <w:b w:val="0"/>
                <w:sz w:val="24"/>
              </w:rPr>
              <w:t>Q2</w:t>
            </w:r>
          </w:p>
        </w:tc>
        <w:tc>
          <w:tcPr>
            <w:tcW w:type="dxa" w:w="1660"/>
          </w:tcPr>
          <w:p>
            <w:pPr>
              <w:jc w:val="center"/>
            </w:pPr>
            <w:r/>
            <w:r>
              <w:rPr>
                <w:rFonts w:ascii="Times New Roman" w:hAnsi="Times New Roman" w:eastAsia="宋体"/>
                <w:b w:val="0"/>
                <w:sz w:val="24"/>
              </w:rPr>
              <w:t>16206550.45</w:t>
            </w:r>
          </w:p>
        </w:tc>
        <w:tc>
          <w:tcPr>
            <w:tcW w:type="dxa" w:w="1660"/>
          </w:tcPr>
          <w:p>
            <w:pPr>
              <w:jc w:val="center"/>
            </w:pPr>
            <w:r/>
            <w:r>
              <w:rPr>
                <w:rFonts w:ascii="Times New Roman" w:hAnsi="Times New Roman" w:eastAsia="宋体"/>
                <w:b w:val="0"/>
                <w:sz w:val="24"/>
              </w:rPr>
              <w:t>789872.052</w:t>
            </w:r>
          </w:p>
        </w:tc>
        <w:tc>
          <w:tcPr>
            <w:tcW w:type="dxa" w:w="1660"/>
          </w:tcPr>
          <w:p>
            <w:pPr>
              <w:jc w:val="center"/>
            </w:pPr>
            <w:r/>
            <w:r>
              <w:rPr>
                <w:rFonts w:ascii="Times New Roman" w:hAnsi="Times New Roman" w:eastAsia="宋体"/>
                <w:b w:val="0"/>
                <w:sz w:val="24"/>
              </w:rPr>
              <w:t>50731.74</w:t>
            </w:r>
          </w:p>
        </w:tc>
        <w:tc>
          <w:tcPr>
            <w:tcW w:type="dxa" w:w="1660"/>
          </w:tcPr>
          <w:p>
            <w:pPr>
              <w:jc w:val="center"/>
            </w:pPr>
            <w:r/>
            <w:r>
              <w:rPr>
                <w:rFonts w:ascii="Times New Roman" w:hAnsi="Times New Roman" w:eastAsia="宋体"/>
                <w:b w:val="0"/>
                <w:sz w:val="24"/>
              </w:rPr>
              <w:t>76447.51</w:t>
            </w:r>
          </w:p>
        </w:tc>
      </w:tr>
      <w:tr>
        <w:tc>
          <w:tcPr>
            <w:tcW w:type="dxa" w:w="1660"/>
          </w:tcPr>
          <w:p>
            <w:pPr>
              <w:jc w:val="center"/>
            </w:pPr>
            <w:r/>
            <w:r>
              <w:rPr>
                <w:rFonts w:ascii="Times New Roman" w:hAnsi="Times New Roman" w:eastAsia="宋体"/>
                <w:b w:val="0"/>
                <w:sz w:val="24"/>
              </w:rPr>
              <w:t>Q3</w:t>
            </w:r>
          </w:p>
        </w:tc>
        <w:tc>
          <w:tcPr>
            <w:tcW w:type="dxa" w:w="1660"/>
          </w:tcPr>
          <w:p>
            <w:pPr>
              <w:jc w:val="center"/>
            </w:pPr>
            <w:r/>
            <w:r>
              <w:rPr>
                <w:rFonts w:ascii="Times New Roman" w:hAnsi="Times New Roman" w:eastAsia="宋体"/>
                <w:b w:val="0"/>
                <w:sz w:val="24"/>
              </w:rPr>
              <w:t>18242015.85</w:t>
            </w:r>
          </w:p>
        </w:tc>
        <w:tc>
          <w:tcPr>
            <w:tcW w:type="dxa" w:w="1660"/>
          </w:tcPr>
          <w:p>
            <w:pPr>
              <w:jc w:val="center"/>
            </w:pPr>
            <w:r/>
            <w:r>
              <w:rPr>
                <w:rFonts w:ascii="Times New Roman" w:hAnsi="Times New Roman" w:eastAsia="宋体"/>
                <w:b w:val="0"/>
                <w:sz w:val="24"/>
              </w:rPr>
              <w:t>1066446.282</w:t>
            </w:r>
          </w:p>
        </w:tc>
        <w:tc>
          <w:tcPr>
            <w:tcW w:type="dxa" w:w="1660"/>
          </w:tcPr>
          <w:p>
            <w:pPr>
              <w:jc w:val="center"/>
            </w:pPr>
            <w:r/>
            <w:r>
              <w:rPr>
                <w:rFonts w:ascii="Times New Roman" w:hAnsi="Times New Roman" w:eastAsia="宋体"/>
                <w:b w:val="0"/>
                <w:sz w:val="24"/>
              </w:rPr>
              <w:t>57773.47</w:t>
            </w:r>
          </w:p>
        </w:tc>
        <w:tc>
          <w:tcPr>
            <w:tcW w:type="dxa" w:w="1660"/>
          </w:tcPr>
          <w:p>
            <w:pPr>
              <w:jc w:val="center"/>
            </w:pPr>
            <w:r/>
            <w:r>
              <w:rPr>
                <w:rFonts w:ascii="Times New Roman" w:hAnsi="Times New Roman" w:eastAsia="宋体"/>
                <w:b w:val="0"/>
                <w:sz w:val="24"/>
              </w:rPr>
              <w:t>82786.50</w:t>
            </w:r>
          </w:p>
        </w:tc>
      </w:tr>
      <w:tr>
        <w:tc>
          <w:tcPr>
            <w:tcW w:type="dxa" w:w="1660"/>
          </w:tcPr>
          <w:p>
            <w:pPr>
              <w:jc w:val="center"/>
            </w:pPr>
            <w:r/>
            <w:r>
              <w:rPr>
                <w:rFonts w:ascii="Times New Roman" w:hAnsi="Times New Roman" w:eastAsia="宋体"/>
                <w:b w:val="0"/>
                <w:sz w:val="24"/>
              </w:rPr>
              <w:t>Q4-2</w:t>
            </w:r>
          </w:p>
        </w:tc>
        <w:tc>
          <w:tcPr>
            <w:tcW w:type="dxa" w:w="1660"/>
          </w:tcPr>
          <w:p>
            <w:pPr>
              <w:jc w:val="center"/>
            </w:pPr>
            <w:r/>
            <w:r>
              <w:rPr>
                <w:rFonts w:ascii="Times New Roman" w:hAnsi="Times New Roman" w:eastAsia="宋体"/>
                <w:b w:val="0"/>
                <w:sz w:val="24"/>
              </w:rPr>
              <w:t>16989713.48</w:t>
            </w:r>
          </w:p>
        </w:tc>
        <w:tc>
          <w:tcPr>
            <w:tcW w:type="dxa" w:w="1660"/>
          </w:tcPr>
          <w:p>
            <w:pPr>
              <w:jc w:val="center"/>
            </w:pPr>
            <w:r/>
            <w:r>
              <w:rPr>
                <w:rFonts w:ascii="Times New Roman" w:hAnsi="Times New Roman" w:eastAsia="宋体"/>
                <w:b w:val="0"/>
                <w:sz w:val="24"/>
              </w:rPr>
              <w:t>789872.052</w:t>
            </w:r>
          </w:p>
        </w:tc>
        <w:tc>
          <w:tcPr>
            <w:tcW w:type="dxa" w:w="1660"/>
          </w:tcPr>
          <w:p>
            <w:pPr>
              <w:jc w:val="center"/>
            </w:pPr>
            <w:r/>
            <w:r>
              <w:rPr>
                <w:rFonts w:ascii="Times New Roman" w:hAnsi="Times New Roman" w:eastAsia="宋体"/>
                <w:b w:val="0"/>
                <w:sz w:val="24"/>
              </w:rPr>
              <w:t>51848.24</w:t>
            </w:r>
          </w:p>
        </w:tc>
        <w:tc>
          <w:tcPr>
            <w:tcW w:type="dxa" w:w="1660"/>
          </w:tcPr>
          <w:p>
            <w:pPr>
              <w:jc w:val="center"/>
            </w:pPr>
            <w:r/>
            <w:r>
              <w:rPr>
                <w:rFonts w:ascii="Times New Roman" w:hAnsi="Times New Roman" w:eastAsia="宋体"/>
                <w:b w:val="0"/>
                <w:sz w:val="24"/>
              </w:rPr>
              <w:t>89019.60</w:t>
            </w:r>
          </w:p>
        </w:tc>
      </w:tr>
      <w:tr>
        <w:tc>
          <w:tcPr>
            <w:tcW w:type="dxa" w:w="1660"/>
          </w:tcPr>
          <w:p>
            <w:pPr>
              <w:jc w:val="center"/>
            </w:pPr>
            <w:r/>
            <w:r>
              <w:rPr>
                <w:rFonts w:ascii="Times New Roman" w:hAnsi="Times New Roman" w:eastAsia="宋体"/>
                <w:b w:val="0"/>
                <w:sz w:val="24"/>
              </w:rPr>
              <w:t>Q4-3</w:t>
            </w:r>
          </w:p>
        </w:tc>
        <w:tc>
          <w:tcPr>
            <w:tcW w:type="dxa" w:w="1660"/>
          </w:tcPr>
          <w:p>
            <w:pPr>
              <w:jc w:val="center"/>
            </w:pPr>
            <w:r/>
            <w:r>
              <w:rPr>
                <w:rFonts w:ascii="Times New Roman" w:hAnsi="Times New Roman" w:eastAsia="宋体"/>
                <w:b w:val="0"/>
                <w:sz w:val="24"/>
              </w:rPr>
              <w:t>19577410.54</w:t>
            </w:r>
          </w:p>
        </w:tc>
        <w:tc>
          <w:tcPr>
            <w:tcW w:type="dxa" w:w="1660"/>
          </w:tcPr>
          <w:p>
            <w:pPr>
              <w:jc w:val="center"/>
            </w:pPr>
            <w:r/>
            <w:r>
              <w:rPr>
                <w:rFonts w:ascii="Times New Roman" w:hAnsi="Times New Roman" w:eastAsia="宋体"/>
                <w:b w:val="0"/>
                <w:sz w:val="24"/>
              </w:rPr>
              <w:t>1067444.696</w:t>
            </w:r>
          </w:p>
        </w:tc>
        <w:tc>
          <w:tcPr>
            <w:tcW w:type="dxa" w:w="1660"/>
          </w:tcPr>
          <w:p>
            <w:pPr>
              <w:jc w:val="center"/>
            </w:pPr>
            <w:r/>
            <w:r>
              <w:rPr>
                <w:rFonts w:ascii="Times New Roman" w:hAnsi="Times New Roman" w:eastAsia="宋体"/>
                <w:b w:val="0"/>
                <w:sz w:val="24"/>
              </w:rPr>
              <w:t>62181.98</w:t>
            </w:r>
          </w:p>
        </w:tc>
        <w:tc>
          <w:tcPr>
            <w:tcW w:type="dxa" w:w="1660"/>
          </w:tcPr>
          <w:p>
            <w:pPr>
              <w:jc w:val="center"/>
            </w:pPr>
            <w:r/>
            <w:r>
              <w:rPr>
                <w:rFonts w:ascii="Times New Roman" w:hAnsi="Times New Roman" w:eastAsia="宋体"/>
                <w:b w:val="0"/>
                <w:sz w:val="24"/>
              </w:rPr>
              <w:t>99890.07</w:t>
            </w:r>
          </w:p>
        </w:tc>
      </w:tr>
    </w:tbl>
    <w:p>
      <w:pPr>
        <w:spacing w:before="0" w:after="0" w:line="300" w:lineRule="auto"/>
        <w:ind w:firstLine="480"/>
      </w:pPr>
      <w:r>
        <w:rPr>
          <w:rFonts w:ascii="Times New Roman" w:hAnsi="Times New Roman" w:eastAsia="宋体"/>
          <w:b w:val="0"/>
          <w:sz w:val="24"/>
        </w:rPr>
        <w:t>表8显示，动态价格下Q4-2的日费用中位数为51848.24元、P95为89019.60元；Q4-3相对Q3费用增加1335394.69元（7.32%），而紧急购电量仅增加998.415 kWh。价格尖峰和调整费共同抬高了账单，数量指标与费用指标由此产生分离。</w:t>
      </w:r>
    </w:p>
    <w:p>
      <w:r>
        <w:t>表9  Q4-3全年结算分项</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分项</w:t>
            </w:r>
          </w:p>
        </w:tc>
        <w:tc>
          <w:tcPr>
            <w:tcW w:type="dxa" w:w="2767"/>
            <w:tcBorders>
              <w:bottom w:val="single" w:sz="4" w:space="0" w:color="000000"/>
            </w:tcBorders>
          </w:tcPr>
          <w:p>
            <w:pPr>
              <w:jc w:val="center"/>
            </w:pPr>
            <w:r/>
            <w:r>
              <w:rPr>
                <w:rFonts w:ascii="Times New Roman" w:hAnsi="Times New Roman" w:eastAsia="宋体"/>
                <w:b/>
                <w:sz w:val="24"/>
              </w:rPr>
              <w:t>全年金额/元</w:t>
            </w:r>
          </w:p>
        </w:tc>
        <w:tc>
          <w:tcPr>
            <w:tcW w:type="dxa" w:w="2767"/>
            <w:tcBorders>
              <w:bottom w:val="single" w:sz="4" w:space="0" w:color="000000"/>
            </w:tcBorders>
          </w:tcPr>
          <w:p>
            <w:pPr>
              <w:jc w:val="center"/>
            </w:pPr>
            <w:r/>
            <w:r>
              <w:rPr>
                <w:rFonts w:ascii="Times New Roman" w:hAnsi="Times New Roman" w:eastAsia="宋体"/>
                <w:b/>
                <w:sz w:val="24"/>
              </w:rPr>
              <w:t>占Q4-3总费用/%</w:t>
            </w:r>
          </w:p>
        </w:tc>
      </w:tr>
      <w:tr>
        <w:tc>
          <w:tcPr>
            <w:tcW w:type="dxa" w:w="2767"/>
          </w:tcPr>
          <w:p>
            <w:pPr>
              <w:jc w:val="center"/>
            </w:pPr>
            <w:r/>
            <w:r>
              <w:rPr>
                <w:rFonts w:ascii="Times New Roman" w:hAnsi="Times New Roman" w:eastAsia="宋体"/>
                <w:b w:val="0"/>
                <w:sz w:val="24"/>
              </w:rPr>
              <w:t>计划基准费</w:t>
            </w:r>
          </w:p>
        </w:tc>
        <w:tc>
          <w:tcPr>
            <w:tcW w:type="dxa" w:w="2767"/>
          </w:tcPr>
          <w:p>
            <w:pPr>
              <w:jc w:val="center"/>
            </w:pPr>
            <w:r/>
            <w:r>
              <w:rPr>
                <w:rFonts w:ascii="Times New Roman" w:hAnsi="Times New Roman" w:eastAsia="宋体"/>
                <w:b w:val="0"/>
                <w:sz w:val="24"/>
              </w:rPr>
              <w:t>13731032.33</w:t>
            </w:r>
          </w:p>
        </w:tc>
        <w:tc>
          <w:tcPr>
            <w:tcW w:type="dxa" w:w="2767"/>
          </w:tcPr>
          <w:p>
            <w:pPr>
              <w:jc w:val="center"/>
            </w:pPr>
            <w:r/>
            <w:r>
              <w:rPr>
                <w:rFonts w:ascii="Times New Roman" w:hAnsi="Times New Roman" w:eastAsia="宋体"/>
                <w:b w:val="0"/>
                <w:sz w:val="24"/>
              </w:rPr>
              <w:t>70.14</w:t>
            </w:r>
          </w:p>
        </w:tc>
      </w:tr>
      <w:tr>
        <w:tc>
          <w:tcPr>
            <w:tcW w:type="dxa" w:w="2767"/>
          </w:tcPr>
          <w:p>
            <w:pPr>
              <w:jc w:val="center"/>
            </w:pPr>
            <w:r/>
            <w:r>
              <w:rPr>
                <w:rFonts w:ascii="Times New Roman" w:hAnsi="Times New Roman" w:eastAsia="宋体"/>
                <w:b w:val="0"/>
                <w:sz w:val="24"/>
              </w:rPr>
              <w:t>调减费</w:t>
            </w:r>
          </w:p>
        </w:tc>
        <w:tc>
          <w:tcPr>
            <w:tcW w:type="dxa" w:w="2767"/>
          </w:tcPr>
          <w:p>
            <w:pPr>
              <w:jc w:val="center"/>
            </w:pPr>
            <w:r/>
            <w:r>
              <w:rPr>
                <w:rFonts w:ascii="Times New Roman" w:hAnsi="Times New Roman" w:eastAsia="宋体"/>
                <w:b w:val="0"/>
                <w:sz w:val="24"/>
              </w:rPr>
              <w:t>300399.56</w:t>
            </w:r>
          </w:p>
        </w:tc>
        <w:tc>
          <w:tcPr>
            <w:tcW w:type="dxa" w:w="2767"/>
          </w:tcPr>
          <w:p>
            <w:pPr>
              <w:jc w:val="center"/>
            </w:pPr>
            <w:r/>
            <w:r>
              <w:rPr>
                <w:rFonts w:ascii="Times New Roman" w:hAnsi="Times New Roman" w:eastAsia="宋体"/>
                <w:b w:val="0"/>
                <w:sz w:val="24"/>
              </w:rPr>
              <w:t>1.53</w:t>
            </w:r>
          </w:p>
        </w:tc>
      </w:tr>
      <w:tr>
        <w:tc>
          <w:tcPr>
            <w:tcW w:type="dxa" w:w="2767"/>
          </w:tcPr>
          <w:p>
            <w:pPr>
              <w:jc w:val="center"/>
            </w:pPr>
            <w:r/>
            <w:r>
              <w:rPr>
                <w:rFonts w:ascii="Times New Roman" w:hAnsi="Times New Roman" w:eastAsia="宋体"/>
                <w:b w:val="0"/>
                <w:sz w:val="24"/>
              </w:rPr>
              <w:t>调增费</w:t>
            </w:r>
          </w:p>
        </w:tc>
        <w:tc>
          <w:tcPr>
            <w:tcW w:type="dxa" w:w="2767"/>
          </w:tcPr>
          <w:p>
            <w:pPr>
              <w:jc w:val="center"/>
            </w:pPr>
            <w:r/>
            <w:r>
              <w:rPr>
                <w:rFonts w:ascii="Times New Roman" w:hAnsi="Times New Roman" w:eastAsia="宋体"/>
                <w:b w:val="0"/>
                <w:sz w:val="24"/>
              </w:rPr>
              <w:t>1174258.49</w:t>
            </w:r>
          </w:p>
        </w:tc>
        <w:tc>
          <w:tcPr>
            <w:tcW w:type="dxa" w:w="2767"/>
          </w:tcPr>
          <w:p>
            <w:pPr>
              <w:jc w:val="center"/>
            </w:pPr>
            <w:r/>
            <w:r>
              <w:rPr>
                <w:rFonts w:ascii="Times New Roman" w:hAnsi="Times New Roman" w:eastAsia="宋体"/>
                <w:b w:val="0"/>
                <w:sz w:val="24"/>
              </w:rPr>
              <w:t>6.00</w:t>
            </w:r>
          </w:p>
        </w:tc>
      </w:tr>
      <w:tr>
        <w:tc>
          <w:tcPr>
            <w:tcW w:type="dxa" w:w="2767"/>
          </w:tcPr>
          <w:p>
            <w:pPr>
              <w:jc w:val="center"/>
            </w:pPr>
            <w:r/>
            <w:r>
              <w:rPr>
                <w:rFonts w:ascii="Times New Roman" w:hAnsi="Times New Roman" w:eastAsia="宋体"/>
                <w:b w:val="0"/>
                <w:sz w:val="24"/>
              </w:rPr>
              <w:t>紧急费</w:t>
            </w:r>
          </w:p>
        </w:tc>
        <w:tc>
          <w:tcPr>
            <w:tcW w:type="dxa" w:w="2767"/>
          </w:tcPr>
          <w:p>
            <w:pPr>
              <w:jc w:val="center"/>
            </w:pPr>
            <w:r/>
            <w:r>
              <w:rPr>
                <w:rFonts w:ascii="Times New Roman" w:hAnsi="Times New Roman" w:eastAsia="宋体"/>
                <w:b w:val="0"/>
                <w:sz w:val="24"/>
              </w:rPr>
              <w:t>4371720.17</w:t>
            </w:r>
          </w:p>
        </w:tc>
        <w:tc>
          <w:tcPr>
            <w:tcW w:type="dxa" w:w="2767"/>
          </w:tcPr>
          <w:p>
            <w:pPr>
              <w:jc w:val="center"/>
            </w:pPr>
            <w:r/>
            <w:r>
              <w:rPr>
                <w:rFonts w:ascii="Times New Roman" w:hAnsi="Times New Roman" w:eastAsia="宋体"/>
                <w:b w:val="0"/>
                <w:sz w:val="24"/>
              </w:rPr>
              <w:t>22.33</w:t>
            </w:r>
          </w:p>
        </w:tc>
      </w:tr>
      <w:tr>
        <w:tc>
          <w:tcPr>
            <w:tcW w:type="dxa" w:w="2767"/>
          </w:tcPr>
          <w:p>
            <w:pPr>
              <w:jc w:val="center"/>
            </w:pPr>
            <w:r/>
            <w:r>
              <w:rPr>
                <w:rFonts w:ascii="Times New Roman" w:hAnsi="Times New Roman" w:eastAsia="宋体"/>
                <w:b w:val="0"/>
                <w:sz w:val="24"/>
              </w:rPr>
              <w:t>合计</w:t>
            </w:r>
          </w:p>
        </w:tc>
        <w:tc>
          <w:tcPr>
            <w:tcW w:type="dxa" w:w="2767"/>
          </w:tcPr>
          <w:p>
            <w:pPr>
              <w:jc w:val="center"/>
            </w:pPr>
            <w:r/>
            <w:r>
              <w:rPr>
                <w:rFonts w:ascii="Times New Roman" w:hAnsi="Times New Roman" w:eastAsia="宋体"/>
                <w:b w:val="0"/>
                <w:sz w:val="24"/>
              </w:rPr>
              <w:t>19577410.54</w:t>
            </w:r>
          </w:p>
        </w:tc>
        <w:tc>
          <w:tcPr>
            <w:tcW w:type="dxa" w:w="2767"/>
          </w:tcPr>
          <w:p>
            <w:pPr>
              <w:jc w:val="center"/>
            </w:pPr>
            <w:r/>
            <w:r>
              <w:rPr>
                <w:rFonts w:ascii="Times New Roman" w:hAnsi="Times New Roman" w:eastAsia="宋体"/>
                <w:b w:val="0"/>
                <w:sz w:val="24"/>
              </w:rPr>
              <w:t>100.00</w:t>
            </w:r>
          </w:p>
        </w:tc>
      </w:tr>
    </w:tbl>
    <w:p>
      <w:pPr>
        <w:spacing w:before="0" w:after="0" w:line="300" w:lineRule="auto"/>
        <w:ind w:firstLine="480"/>
      </w:pPr>
      <w:r>
        <w:rPr>
          <w:rFonts w:ascii="Times New Roman" w:hAnsi="Times New Roman" w:eastAsia="宋体"/>
          <w:b w:val="0"/>
          <w:sz w:val="24"/>
        </w:rPr>
        <w:t>表9中基准费占Q4-3总费用的70.14%，调减和调增费用合计占7.53%，紧急费占22.33%。与Q3相比，Q4-3的调整费占比明显提高，说明动态价格放大了计划偏差的结算代价。</w:t>
      </w:r>
    </w:p>
    <w:p>
      <w:pPr>
        <w:jc w:val="center"/>
      </w:pPr>
      <w:r>
        <w:drawing>
          <wp:inline xmlns:a="http://schemas.openxmlformats.org/drawingml/2006/main" xmlns:pic="http://schemas.openxmlformats.org/drawingml/2006/picture">
            <wp:extent cx="4389120" cy="2139696"/>
            <wp:docPr id="6" name="Picture 6"/>
            <wp:cNvGraphicFramePr>
              <a:graphicFrameLocks noChangeAspect="1"/>
            </wp:cNvGraphicFramePr>
            <a:graphic>
              <a:graphicData uri="http://schemas.openxmlformats.org/drawingml/2006/picture">
                <pic:pic>
                  <pic:nvPicPr>
                    <pic:cNvPr id="0" name="result_q4_cost_box.png"/>
                    <pic:cNvPicPr/>
                  </pic:nvPicPr>
                  <pic:blipFill>
                    <a:blip r:embed="rId14"/>
                    <a:stretch>
                      <a:fillRect/>
                    </a:stretch>
                  </pic:blipFill>
                  <pic:spPr>
                    <a:xfrm>
                      <a:off x="0" y="0"/>
                      <a:ext cx="4389120" cy="2139696"/>
                    </a:xfrm>
                    <a:prstGeom prst="rect"/>
                  </pic:spPr>
                </pic:pic>
              </a:graphicData>
            </a:graphic>
          </wp:inline>
        </w:drawing>
      </w:r>
    </w:p>
    <w:p>
      <w:pPr>
        <w:jc w:val="center"/>
      </w:pPr>
      <w:r>
        <w:t>图6  Q2、Q3与Q4-2日费用分布</w:t>
      </w:r>
    </w:p>
    <w:p>
      <w:pPr>
        <w:spacing w:before="0" w:after="0" w:line="300" w:lineRule="auto"/>
        <w:ind w:firstLine="480"/>
      </w:pPr>
      <w:r>
        <w:rPr>
          <w:rFonts w:ascii="Times New Roman" w:hAnsi="Times New Roman" w:eastAsia="宋体"/>
          <w:b w:val="0"/>
          <w:sz w:val="24"/>
        </w:rPr>
        <w:t>图6比较日费用的中位数、四分位区间和极端值；Q4-2的箱体与上须更高，反映波动价格增加了日费用尾部风险。箱线图用于分布对照，全年总费用仍以表8的逐日求和为准。</w:t>
      </w:r>
    </w:p>
    <w:p>
      <w:pPr>
        <w:jc w:val="center"/>
      </w:pPr>
      <w:r>
        <w:drawing>
          <wp:inline xmlns:a="http://schemas.openxmlformats.org/drawingml/2006/main" xmlns:pic="http://schemas.openxmlformats.org/drawingml/2006/picture">
            <wp:extent cx="4389120" cy="2140851"/>
            <wp:docPr id="7" name="Picture 7"/>
            <wp:cNvGraphicFramePr>
              <a:graphicFrameLocks noChangeAspect="1"/>
            </wp:cNvGraphicFramePr>
            <a:graphic>
              <a:graphicData uri="http://schemas.openxmlformats.org/drawingml/2006/picture">
                <pic:pic>
                  <pic:nvPicPr>
                    <pic:cNvPr id="0" name="result_q4_3_series.png"/>
                    <pic:cNvPicPr/>
                  </pic:nvPicPr>
                  <pic:blipFill>
                    <a:blip r:embed="rId15"/>
                    <a:stretch>
                      <a:fillRect/>
                    </a:stretch>
                  </pic:blipFill>
                  <pic:spPr>
                    <a:xfrm>
                      <a:off x="0" y="0"/>
                      <a:ext cx="4389120" cy="2140851"/>
                    </a:xfrm>
                    <a:prstGeom prst="rect"/>
                  </pic:spPr>
                </pic:pic>
              </a:graphicData>
            </a:graphic>
          </wp:inline>
        </w:drawing>
      </w:r>
    </w:p>
    <w:p>
      <w:pPr>
        <w:jc w:val="center"/>
      </w:pPr>
      <w:r>
        <w:t>图7  Q4-3逐日费用序列</w:t>
      </w:r>
    </w:p>
    <w:p>
      <w:pPr>
        <w:spacing w:before="0" w:after="0" w:line="300" w:lineRule="auto"/>
        <w:ind w:firstLine="480"/>
      </w:pPr>
      <w:r>
        <w:rPr>
          <w:rFonts w:ascii="Times New Roman" w:hAnsi="Times New Roman" w:eastAsia="宋体"/>
          <w:b w:val="0"/>
          <w:sz w:val="24"/>
        </w:rPr>
        <w:t>图7展示Q4-3逐日账单的季节性和尖峰。曲线中的高点同时受到负荷、光伏误差、储能状态和动态价格影响，不能仅凭单日峰值判断某一因素的贡献；因此本文把价格替换、滚动更新和实际缺口分别记录。</w:t>
      </w:r>
    </w:p>
    <w:p>
      <w:pPr>
        <w:pageBreakBefore/>
        <w:spacing w:before="0" w:after="0" w:line="300" w:lineRule="auto"/>
        <w:jc w:val="center"/>
      </w:pPr>
      <w:r>
        <w:rPr>
          <w:rFonts w:ascii="Times New Roman" w:hAnsi="Times New Roman" w:eastAsia="宋体"/>
          <w:b/>
          <w:sz w:val="32"/>
        </w:rPr>
        <w:t>七、题面指定日期结果</w:t>
      </w:r>
    </w:p>
    <w:p>
      <w:pPr>
        <w:spacing w:before="0" w:after="0" w:line="300" w:lineRule="auto"/>
        <w:ind w:firstLine="480"/>
      </w:pPr>
      <w:r>
        <w:rPr>
          <w:rFonts w:ascii="Times New Roman" w:hAnsi="Times New Roman" w:eastAsia="宋体"/>
          <w:b w:val="0"/>
          <w:sz w:val="24"/>
        </w:rPr>
        <w:t>下表按题面指定日期展示Q2和Q3的日费用、紧急购电总量、紧急区间数和区间摘要。紧急区间把连续为正的十分钟缺口合并，区间电量为其中各点e_t之和；日费用仍按对应问题的完整144点账单计算。逐十分钟计划、储能状态和全部区间保存在结果工作簿，表格只承担指定日期的可读核对。</w:t>
      </w:r>
    </w:p>
    <w:p>
      <w:r>
        <w:t>表10  问题二指定日期紧急购电</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075"/>
        <w:gridCol w:w="2075"/>
        <w:gridCol w:w="2075"/>
        <w:gridCol w:w="2075"/>
      </w:tblGrid>
      <w:tr>
        <w:tc>
          <w:tcPr>
            <w:tcW w:type="dxa" w:w="2075"/>
            <w:tcBorders>
              <w:bottom w:val="single" w:sz="4" w:space="0" w:color="000000"/>
            </w:tcBorders>
          </w:tcPr>
          <w:p>
            <w:pPr>
              <w:spacing w:before="0" w:after="0" w:line="240" w:lineRule="auto"/>
              <w:jc w:val="center"/>
            </w:pPr>
            <w:r>
              <w:rPr>
                <w:sz w:val="17"/>
              </w:rPr>
            </w:r>
            <w:r>
              <w:rPr>
                <w:rFonts w:ascii="Times New Roman" w:hAnsi="Times New Roman" w:eastAsia="宋体"/>
                <w:b/>
                <w:sz w:val="17"/>
              </w:rPr>
              <w:t>日期</w:t>
            </w:r>
          </w:p>
        </w:tc>
        <w:tc>
          <w:tcPr>
            <w:tcW w:type="dxa" w:w="2075"/>
            <w:tcBorders>
              <w:bottom w:val="single" w:sz="4" w:space="0" w:color="000000"/>
            </w:tcBorders>
          </w:tcPr>
          <w:p>
            <w:pPr>
              <w:spacing w:before="0" w:after="0" w:line="240" w:lineRule="auto"/>
              <w:jc w:val="center"/>
            </w:pPr>
            <w:r>
              <w:rPr>
                <w:sz w:val="17"/>
              </w:rPr>
            </w:r>
            <w:r>
              <w:rPr>
                <w:rFonts w:ascii="Times New Roman" w:hAnsi="Times New Roman" w:eastAsia="宋体"/>
                <w:b/>
                <w:sz w:val="17"/>
              </w:rPr>
              <w:t>日费用/元</w:t>
            </w:r>
          </w:p>
        </w:tc>
        <w:tc>
          <w:tcPr>
            <w:tcW w:type="dxa" w:w="2075"/>
            <w:tcBorders>
              <w:bottom w:val="single" w:sz="4" w:space="0" w:color="000000"/>
            </w:tcBorders>
          </w:tcPr>
          <w:p>
            <w:pPr>
              <w:spacing w:before="0" w:after="0" w:line="240" w:lineRule="auto"/>
              <w:jc w:val="center"/>
            </w:pPr>
            <w:r>
              <w:rPr>
                <w:sz w:val="17"/>
              </w:rPr>
            </w:r>
            <w:r>
              <w:rPr>
                <w:rFonts w:ascii="Times New Roman" w:hAnsi="Times New Roman" w:eastAsia="宋体"/>
                <w:b/>
                <w:sz w:val="17"/>
              </w:rPr>
              <w:t>紧急购电量/kWh</w:t>
            </w:r>
          </w:p>
        </w:tc>
        <w:tc>
          <w:tcPr>
            <w:tcW w:type="dxa" w:w="2075"/>
            <w:tcBorders>
              <w:bottom w:val="single" w:sz="4" w:space="0" w:color="000000"/>
            </w:tcBorders>
          </w:tcPr>
          <w:p>
            <w:pPr>
              <w:spacing w:before="0" w:after="0" w:line="240" w:lineRule="auto"/>
              <w:jc w:val="center"/>
            </w:pPr>
            <w:r>
              <w:rPr>
                <w:sz w:val="17"/>
              </w:rPr>
            </w:r>
            <w:r>
              <w:rPr>
                <w:rFonts w:ascii="Times New Roman" w:hAnsi="Times New Roman" w:eastAsia="宋体"/>
                <w:b/>
                <w:sz w:val="17"/>
              </w:rPr>
              <w:t>紧急购电时段（区间：电量/kWh）</w:t>
            </w:r>
          </w:p>
        </w:tc>
      </w:tr>
      <w:tr>
        <w:tc>
          <w:tcPr>
            <w:tcW w:type="dxa" w:w="2075"/>
          </w:tcPr>
          <w:p>
            <w:pPr>
              <w:spacing w:before="0" w:after="0" w:line="240" w:lineRule="auto"/>
              <w:jc w:val="center"/>
            </w:pPr>
            <w:r>
              <w:rPr>
                <w:sz w:val="17"/>
              </w:rPr>
            </w:r>
            <w:r>
              <w:rPr>
                <w:rFonts w:ascii="Times New Roman" w:hAnsi="Times New Roman" w:eastAsia="宋体"/>
                <w:b w:val="0"/>
                <w:sz w:val="17"/>
              </w:rPr>
              <w:t>2025-03-20</w:t>
            </w:r>
          </w:p>
        </w:tc>
        <w:tc>
          <w:tcPr>
            <w:tcW w:type="dxa" w:w="2075"/>
          </w:tcPr>
          <w:p>
            <w:pPr>
              <w:spacing w:before="0" w:after="0" w:line="240" w:lineRule="auto"/>
              <w:jc w:val="center"/>
            </w:pPr>
            <w:r>
              <w:rPr>
                <w:sz w:val="17"/>
              </w:rPr>
            </w:r>
            <w:r>
              <w:rPr>
                <w:rFonts w:ascii="Times New Roman" w:hAnsi="Times New Roman" w:eastAsia="宋体"/>
                <w:b w:val="0"/>
                <w:sz w:val="17"/>
              </w:rPr>
              <w:t>47713.84</w:t>
            </w:r>
          </w:p>
        </w:tc>
        <w:tc>
          <w:tcPr>
            <w:tcW w:type="dxa" w:w="2075"/>
          </w:tcPr>
          <w:p>
            <w:pPr>
              <w:spacing w:before="0" w:after="0" w:line="240" w:lineRule="auto"/>
              <w:jc w:val="center"/>
            </w:pPr>
            <w:r>
              <w:rPr>
                <w:sz w:val="17"/>
              </w:rPr>
            </w:r>
            <w:r>
              <w:rPr>
                <w:rFonts w:ascii="Times New Roman" w:hAnsi="Times New Roman" w:eastAsia="宋体"/>
                <w:b w:val="0"/>
                <w:sz w:val="17"/>
              </w:rPr>
              <w:t>514.768</w:t>
            </w:r>
          </w:p>
        </w:tc>
        <w:tc>
          <w:tcPr>
            <w:tcW w:type="dxa" w:w="2075"/>
          </w:tcPr>
          <w:p>
            <w:pPr>
              <w:spacing w:before="0" w:after="0" w:line="240" w:lineRule="auto"/>
              <w:jc w:val="center"/>
            </w:pPr>
            <w:r>
              <w:rPr>
                <w:sz w:val="17"/>
              </w:rPr>
            </w:r>
            <w:r>
              <w:rPr>
                <w:rFonts w:ascii="Times New Roman" w:hAnsi="Times New Roman" w:eastAsia="宋体"/>
                <w:b w:val="0"/>
                <w:sz w:val="17"/>
              </w:rPr>
              <w:t>0:20-0:30：25.024；1:10-1:30：12.696；3:10-3:20：15.084；15:30-16:20：104.621</w:t>
              <w:br/>
              <w:t>17:00-17:10：3.845；18:00-18:20：24.406；18:40-19:10：132.710；19:40-20:20：109.845</w:t>
              <w:br/>
              <w:t>21:10-21:40：49.274；22:00-22:10：0.493；23:30-23:50：36.770</w:t>
            </w:r>
          </w:p>
        </w:tc>
      </w:tr>
      <w:tr>
        <w:tc>
          <w:tcPr>
            <w:tcW w:type="dxa" w:w="2075"/>
          </w:tcPr>
          <w:p>
            <w:pPr>
              <w:spacing w:before="0" w:after="0" w:line="240" w:lineRule="auto"/>
              <w:jc w:val="center"/>
            </w:pPr>
            <w:r>
              <w:rPr>
                <w:sz w:val="17"/>
              </w:rPr>
            </w:r>
            <w:r>
              <w:rPr>
                <w:rFonts w:ascii="Times New Roman" w:hAnsi="Times New Roman" w:eastAsia="宋体"/>
                <w:b w:val="0"/>
                <w:sz w:val="17"/>
              </w:rPr>
              <w:t>2025-06-21</w:t>
            </w:r>
          </w:p>
        </w:tc>
        <w:tc>
          <w:tcPr>
            <w:tcW w:type="dxa" w:w="2075"/>
          </w:tcPr>
          <w:p>
            <w:pPr>
              <w:spacing w:before="0" w:after="0" w:line="240" w:lineRule="auto"/>
              <w:jc w:val="center"/>
            </w:pPr>
            <w:r>
              <w:rPr>
                <w:sz w:val="17"/>
              </w:rPr>
            </w:r>
            <w:r>
              <w:rPr>
                <w:rFonts w:ascii="Times New Roman" w:hAnsi="Times New Roman" w:eastAsia="宋体"/>
                <w:b w:val="0"/>
                <w:sz w:val="17"/>
              </w:rPr>
              <w:t>30766.61</w:t>
            </w:r>
          </w:p>
        </w:tc>
        <w:tc>
          <w:tcPr>
            <w:tcW w:type="dxa" w:w="2075"/>
          </w:tcPr>
          <w:p>
            <w:pPr>
              <w:spacing w:before="0" w:after="0" w:line="240" w:lineRule="auto"/>
              <w:jc w:val="center"/>
            </w:pPr>
            <w:r>
              <w:rPr>
                <w:sz w:val="17"/>
              </w:rPr>
            </w:r>
            <w:r>
              <w:rPr>
                <w:rFonts w:ascii="Times New Roman" w:hAnsi="Times New Roman" w:eastAsia="宋体"/>
                <w:b w:val="0"/>
                <w:sz w:val="17"/>
              </w:rPr>
              <w:t>4195.055</w:t>
            </w:r>
          </w:p>
        </w:tc>
        <w:tc>
          <w:tcPr>
            <w:tcW w:type="dxa" w:w="2075"/>
          </w:tcPr>
          <w:p>
            <w:pPr>
              <w:spacing w:before="0" w:after="0" w:line="240" w:lineRule="auto"/>
              <w:jc w:val="center"/>
            </w:pPr>
            <w:r>
              <w:rPr>
                <w:sz w:val="17"/>
              </w:rPr>
            </w:r>
            <w:r>
              <w:rPr>
                <w:rFonts w:ascii="Times New Roman" w:hAnsi="Times New Roman" w:eastAsia="宋体"/>
                <w:b w:val="0"/>
                <w:sz w:val="17"/>
              </w:rPr>
              <w:t>0:00-5:10：1515.238；5:20-6:20：153.294；14:00-14:20：62.257；17:20-20:50：1248.037</w:t>
              <w:br/>
              <w:t>21:00-24:00：1216.229</w:t>
            </w:r>
          </w:p>
        </w:tc>
      </w:tr>
      <w:tr>
        <w:tc>
          <w:tcPr>
            <w:tcW w:type="dxa" w:w="2075"/>
          </w:tcPr>
          <w:p>
            <w:pPr>
              <w:spacing w:before="0" w:after="0" w:line="240" w:lineRule="auto"/>
              <w:jc w:val="center"/>
            </w:pPr>
            <w:r>
              <w:rPr>
                <w:sz w:val="17"/>
              </w:rPr>
            </w:r>
            <w:r>
              <w:rPr>
                <w:rFonts w:ascii="Times New Roman" w:hAnsi="Times New Roman" w:eastAsia="宋体"/>
                <w:b w:val="0"/>
                <w:sz w:val="17"/>
              </w:rPr>
              <w:t>2025-09-23</w:t>
            </w:r>
          </w:p>
        </w:tc>
        <w:tc>
          <w:tcPr>
            <w:tcW w:type="dxa" w:w="2075"/>
          </w:tcPr>
          <w:p>
            <w:pPr>
              <w:spacing w:before="0" w:after="0" w:line="240" w:lineRule="auto"/>
              <w:jc w:val="center"/>
            </w:pPr>
            <w:r>
              <w:rPr>
                <w:sz w:val="17"/>
              </w:rPr>
            </w:r>
            <w:r>
              <w:rPr>
                <w:rFonts w:ascii="Times New Roman" w:hAnsi="Times New Roman" w:eastAsia="宋体"/>
                <w:b w:val="0"/>
                <w:sz w:val="17"/>
              </w:rPr>
              <w:t>53645.52</w:t>
            </w:r>
          </w:p>
        </w:tc>
        <w:tc>
          <w:tcPr>
            <w:tcW w:type="dxa" w:w="2075"/>
          </w:tcPr>
          <w:p>
            <w:pPr>
              <w:spacing w:before="0" w:after="0" w:line="240" w:lineRule="auto"/>
              <w:jc w:val="center"/>
            </w:pPr>
            <w:r>
              <w:rPr>
                <w:sz w:val="17"/>
              </w:rPr>
            </w:r>
            <w:r>
              <w:rPr>
                <w:rFonts w:ascii="Times New Roman" w:hAnsi="Times New Roman" w:eastAsia="宋体"/>
                <w:b w:val="0"/>
                <w:sz w:val="17"/>
              </w:rPr>
              <w:t>0.000</w:t>
            </w:r>
          </w:p>
        </w:tc>
        <w:tc>
          <w:tcPr>
            <w:tcW w:type="dxa" w:w="2075"/>
          </w:tcPr>
          <w:p>
            <w:pPr>
              <w:spacing w:before="0" w:after="0" w:line="240" w:lineRule="auto"/>
              <w:jc w:val="center"/>
            </w:pPr>
            <w:r>
              <w:rPr>
                <w:sz w:val="17"/>
              </w:rPr>
            </w:r>
            <w:r>
              <w:rPr>
                <w:rFonts w:ascii="Times New Roman" w:hAnsi="Times New Roman" w:eastAsia="宋体"/>
                <w:b w:val="0"/>
                <w:sz w:val="17"/>
              </w:rPr>
              <w:t>无</w:t>
            </w:r>
          </w:p>
        </w:tc>
      </w:tr>
      <w:tr>
        <w:tc>
          <w:tcPr>
            <w:tcW w:type="dxa" w:w="2075"/>
          </w:tcPr>
          <w:p>
            <w:pPr>
              <w:spacing w:before="0" w:after="0" w:line="240" w:lineRule="auto"/>
              <w:jc w:val="center"/>
            </w:pPr>
            <w:r>
              <w:rPr>
                <w:sz w:val="17"/>
              </w:rPr>
            </w:r>
            <w:r>
              <w:rPr>
                <w:rFonts w:ascii="Times New Roman" w:hAnsi="Times New Roman" w:eastAsia="宋体"/>
                <w:b w:val="0"/>
                <w:sz w:val="17"/>
              </w:rPr>
              <w:t>2025-12-21</w:t>
            </w:r>
          </w:p>
        </w:tc>
        <w:tc>
          <w:tcPr>
            <w:tcW w:type="dxa" w:w="2075"/>
          </w:tcPr>
          <w:p>
            <w:pPr>
              <w:spacing w:before="0" w:after="0" w:line="240" w:lineRule="auto"/>
              <w:jc w:val="center"/>
            </w:pPr>
            <w:r>
              <w:rPr>
                <w:sz w:val="17"/>
              </w:rPr>
            </w:r>
            <w:r>
              <w:rPr>
                <w:rFonts w:ascii="Times New Roman" w:hAnsi="Times New Roman" w:eastAsia="宋体"/>
                <w:b w:val="0"/>
                <w:sz w:val="17"/>
              </w:rPr>
              <w:t>74389.60</w:t>
            </w:r>
          </w:p>
        </w:tc>
        <w:tc>
          <w:tcPr>
            <w:tcW w:type="dxa" w:w="2075"/>
          </w:tcPr>
          <w:p>
            <w:pPr>
              <w:spacing w:before="0" w:after="0" w:line="240" w:lineRule="auto"/>
              <w:jc w:val="center"/>
            </w:pPr>
            <w:r>
              <w:rPr>
                <w:sz w:val="17"/>
              </w:rPr>
            </w:r>
            <w:r>
              <w:rPr>
                <w:rFonts w:ascii="Times New Roman" w:hAnsi="Times New Roman" w:eastAsia="宋体"/>
                <w:b w:val="0"/>
                <w:sz w:val="17"/>
              </w:rPr>
              <w:t>4881.033</w:t>
            </w:r>
          </w:p>
        </w:tc>
        <w:tc>
          <w:tcPr>
            <w:tcW w:type="dxa" w:w="2075"/>
          </w:tcPr>
          <w:p>
            <w:pPr>
              <w:spacing w:before="0" w:after="0" w:line="240" w:lineRule="auto"/>
              <w:jc w:val="center"/>
            </w:pPr>
            <w:r>
              <w:rPr>
                <w:sz w:val="17"/>
              </w:rPr>
            </w:r>
            <w:r>
              <w:rPr>
                <w:rFonts w:ascii="Times New Roman" w:hAnsi="Times New Roman" w:eastAsia="宋体"/>
                <w:b w:val="0"/>
                <w:sz w:val="17"/>
              </w:rPr>
              <w:t>0:00-0:30：65.624；1:00-9:00：2887.037；10:10-11:50：1007.298；12:00-12:20：32.737</w:t>
              <w:br/>
              <w:t>12:30-13:10：106.696；14:50-15:40：95.275；15:50-16:00：7.631；16:20-16:50：29.170</w:t>
              <w:br/>
              <w:t>17:10-17:40：63.601；18:00-19:30：233.727；19:40-20:10：117.099；20:30-20:40：3.296</w:t>
              <w:br/>
              <w:t>21:20-21:30：18.253；21:40-22:10：65.458；22:20-22:30：5.436；22:50-23:20：82.538</w:t>
              <w:br/>
              <w:t>23:30-23:50：60.158</w:t>
            </w:r>
          </w:p>
        </w:tc>
      </w:tr>
    </w:tbl>
    <w:p>
      <w:pPr>
        <w:spacing w:before="0" w:after="0" w:line="300" w:lineRule="auto"/>
        <w:ind w:firstLine="480"/>
      </w:pPr>
      <w:r>
        <w:rPr>
          <w:rFonts w:ascii="Times New Roman" w:hAnsi="Times New Roman" w:eastAsia="宋体"/>
          <w:b w:val="0"/>
          <w:sz w:val="24"/>
        </w:rPr>
        <w:t>完整的144点计划、储能状态和所有紧急购电区间见result2.xlsx；本表只压缩展示题面指定日期，避免正文被逐日明细淹没。</w:t>
      </w:r>
    </w:p>
    <w:p>
      <w:r>
        <w:br w:type="page"/>
      </w:r>
    </w:p>
    <w:p>
      <w:r>
        <w:t>表11  问题三指定日期紧急购电</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075"/>
        <w:gridCol w:w="2075"/>
        <w:gridCol w:w="2075"/>
        <w:gridCol w:w="2075"/>
      </w:tblGrid>
      <w:tr>
        <w:tc>
          <w:tcPr>
            <w:tcW w:type="dxa" w:w="2075"/>
            <w:tcBorders>
              <w:bottom w:val="single" w:sz="4" w:space="0" w:color="000000"/>
            </w:tcBorders>
          </w:tcPr>
          <w:p>
            <w:pPr>
              <w:spacing w:before="0" w:after="0" w:line="240" w:lineRule="auto"/>
              <w:jc w:val="center"/>
            </w:pPr>
            <w:r>
              <w:rPr>
                <w:sz w:val="17"/>
              </w:rPr>
            </w:r>
            <w:r>
              <w:rPr>
                <w:rFonts w:ascii="Times New Roman" w:hAnsi="Times New Roman" w:eastAsia="宋体"/>
                <w:b/>
                <w:sz w:val="17"/>
              </w:rPr>
              <w:t>日期</w:t>
            </w:r>
          </w:p>
        </w:tc>
        <w:tc>
          <w:tcPr>
            <w:tcW w:type="dxa" w:w="2075"/>
            <w:tcBorders>
              <w:bottom w:val="single" w:sz="4" w:space="0" w:color="000000"/>
            </w:tcBorders>
          </w:tcPr>
          <w:p>
            <w:pPr>
              <w:spacing w:before="0" w:after="0" w:line="240" w:lineRule="auto"/>
              <w:jc w:val="center"/>
            </w:pPr>
            <w:r>
              <w:rPr>
                <w:sz w:val="17"/>
              </w:rPr>
            </w:r>
            <w:r>
              <w:rPr>
                <w:rFonts w:ascii="Times New Roman" w:hAnsi="Times New Roman" w:eastAsia="宋体"/>
                <w:b/>
                <w:sz w:val="17"/>
              </w:rPr>
              <w:t>日费用/元</w:t>
            </w:r>
          </w:p>
        </w:tc>
        <w:tc>
          <w:tcPr>
            <w:tcW w:type="dxa" w:w="2075"/>
            <w:tcBorders>
              <w:bottom w:val="single" w:sz="4" w:space="0" w:color="000000"/>
            </w:tcBorders>
          </w:tcPr>
          <w:p>
            <w:pPr>
              <w:spacing w:before="0" w:after="0" w:line="240" w:lineRule="auto"/>
              <w:jc w:val="center"/>
            </w:pPr>
            <w:r>
              <w:rPr>
                <w:sz w:val="17"/>
              </w:rPr>
            </w:r>
            <w:r>
              <w:rPr>
                <w:rFonts w:ascii="Times New Roman" w:hAnsi="Times New Roman" w:eastAsia="宋体"/>
                <w:b/>
                <w:sz w:val="17"/>
              </w:rPr>
              <w:t>紧急购电量/kWh</w:t>
            </w:r>
          </w:p>
        </w:tc>
        <w:tc>
          <w:tcPr>
            <w:tcW w:type="dxa" w:w="2075"/>
            <w:tcBorders>
              <w:bottom w:val="single" w:sz="4" w:space="0" w:color="000000"/>
            </w:tcBorders>
          </w:tcPr>
          <w:p>
            <w:pPr>
              <w:spacing w:before="0" w:after="0" w:line="240" w:lineRule="auto"/>
              <w:jc w:val="center"/>
            </w:pPr>
            <w:r>
              <w:rPr>
                <w:sz w:val="17"/>
              </w:rPr>
            </w:r>
            <w:r>
              <w:rPr>
                <w:rFonts w:ascii="Times New Roman" w:hAnsi="Times New Roman" w:eastAsia="宋体"/>
                <w:b/>
                <w:sz w:val="17"/>
              </w:rPr>
              <w:t>紧急购电时段（区间：电量/kWh）</w:t>
            </w:r>
          </w:p>
        </w:tc>
      </w:tr>
      <w:tr>
        <w:tc>
          <w:tcPr>
            <w:tcW w:type="dxa" w:w="2075"/>
          </w:tcPr>
          <w:p>
            <w:pPr>
              <w:spacing w:before="0" w:after="0" w:line="240" w:lineRule="auto"/>
              <w:jc w:val="center"/>
            </w:pPr>
            <w:r>
              <w:rPr>
                <w:sz w:val="17"/>
              </w:rPr>
            </w:r>
            <w:r>
              <w:rPr>
                <w:rFonts w:ascii="Times New Roman" w:hAnsi="Times New Roman" w:eastAsia="宋体"/>
                <w:b w:val="0"/>
                <w:sz w:val="17"/>
              </w:rPr>
              <w:t>2025-03-20</w:t>
            </w:r>
          </w:p>
        </w:tc>
        <w:tc>
          <w:tcPr>
            <w:tcW w:type="dxa" w:w="2075"/>
          </w:tcPr>
          <w:p>
            <w:pPr>
              <w:spacing w:before="0" w:after="0" w:line="240" w:lineRule="auto"/>
              <w:jc w:val="center"/>
            </w:pPr>
            <w:r>
              <w:rPr>
                <w:sz w:val="17"/>
              </w:rPr>
            </w:r>
            <w:r>
              <w:rPr>
                <w:rFonts w:ascii="Times New Roman" w:hAnsi="Times New Roman" w:eastAsia="宋体"/>
                <w:b w:val="0"/>
                <w:sz w:val="17"/>
              </w:rPr>
              <w:t>54769.63</w:t>
            </w:r>
          </w:p>
        </w:tc>
        <w:tc>
          <w:tcPr>
            <w:tcW w:type="dxa" w:w="2075"/>
          </w:tcPr>
          <w:p>
            <w:pPr>
              <w:spacing w:before="0" w:after="0" w:line="240" w:lineRule="auto"/>
              <w:jc w:val="center"/>
            </w:pPr>
            <w:r>
              <w:rPr>
                <w:sz w:val="17"/>
              </w:rPr>
            </w:r>
            <w:r>
              <w:rPr>
                <w:rFonts w:ascii="Times New Roman" w:hAnsi="Times New Roman" w:eastAsia="宋体"/>
                <w:b w:val="0"/>
                <w:sz w:val="17"/>
              </w:rPr>
              <w:t>1216.724</w:t>
            </w:r>
          </w:p>
        </w:tc>
        <w:tc>
          <w:tcPr>
            <w:tcW w:type="dxa" w:w="2075"/>
          </w:tcPr>
          <w:p>
            <w:pPr>
              <w:spacing w:before="0" w:after="0" w:line="240" w:lineRule="auto"/>
              <w:jc w:val="center"/>
            </w:pPr>
            <w:r>
              <w:rPr>
                <w:sz w:val="17"/>
              </w:rPr>
            </w:r>
            <w:r>
              <w:rPr>
                <w:rFonts w:ascii="Times New Roman" w:hAnsi="Times New Roman" w:eastAsia="宋体"/>
                <w:b w:val="0"/>
                <w:sz w:val="17"/>
              </w:rPr>
              <w:t>0:20-0:30：25.024；1:10-1:30：12.696；3:10-3:20：15.084；5:40-7:10：610.133</w:t>
              <w:br/>
              <w:t>7:20-7:40：32.440；8:00-9:10：151.325；11:10-11:20：17.191；18:00-18:20：23.783</w:t>
              <w:br/>
              <w:t>18:40-19:10：132.665；19:40-20:20：109.845；21:10-21:40：49.274；22:00-22:10：0.493</w:t>
              <w:br/>
              <w:t>23:30-23:50：36.770</w:t>
            </w:r>
          </w:p>
        </w:tc>
      </w:tr>
      <w:tr>
        <w:tc>
          <w:tcPr>
            <w:tcW w:type="dxa" w:w="2075"/>
          </w:tcPr>
          <w:p>
            <w:pPr>
              <w:spacing w:before="0" w:after="0" w:line="240" w:lineRule="auto"/>
              <w:jc w:val="center"/>
            </w:pPr>
            <w:r>
              <w:rPr>
                <w:sz w:val="17"/>
              </w:rPr>
            </w:r>
            <w:r>
              <w:rPr>
                <w:rFonts w:ascii="Times New Roman" w:hAnsi="Times New Roman" w:eastAsia="宋体"/>
                <w:b w:val="0"/>
                <w:sz w:val="17"/>
              </w:rPr>
              <w:t>2025-06-21</w:t>
            </w:r>
          </w:p>
        </w:tc>
        <w:tc>
          <w:tcPr>
            <w:tcW w:type="dxa" w:w="2075"/>
          </w:tcPr>
          <w:p>
            <w:pPr>
              <w:spacing w:before="0" w:after="0" w:line="240" w:lineRule="auto"/>
              <w:jc w:val="center"/>
            </w:pPr>
            <w:r>
              <w:rPr>
                <w:sz w:val="17"/>
              </w:rPr>
            </w:r>
            <w:r>
              <w:rPr>
                <w:rFonts w:ascii="Times New Roman" w:hAnsi="Times New Roman" w:eastAsia="宋体"/>
                <w:b w:val="0"/>
                <w:sz w:val="17"/>
              </w:rPr>
              <w:t>34383.54</w:t>
            </w:r>
          </w:p>
        </w:tc>
        <w:tc>
          <w:tcPr>
            <w:tcW w:type="dxa" w:w="2075"/>
          </w:tcPr>
          <w:p>
            <w:pPr>
              <w:spacing w:before="0" w:after="0" w:line="240" w:lineRule="auto"/>
              <w:jc w:val="center"/>
            </w:pPr>
            <w:r>
              <w:rPr>
                <w:sz w:val="17"/>
              </w:rPr>
            </w:r>
            <w:r>
              <w:rPr>
                <w:rFonts w:ascii="Times New Roman" w:hAnsi="Times New Roman" w:eastAsia="宋体"/>
                <w:b w:val="0"/>
                <w:sz w:val="17"/>
              </w:rPr>
              <w:t>5030.908</w:t>
            </w:r>
          </w:p>
        </w:tc>
        <w:tc>
          <w:tcPr>
            <w:tcW w:type="dxa" w:w="2075"/>
          </w:tcPr>
          <w:p>
            <w:pPr>
              <w:spacing w:before="0" w:after="0" w:line="240" w:lineRule="auto"/>
              <w:jc w:val="center"/>
            </w:pPr>
            <w:r>
              <w:rPr>
                <w:sz w:val="17"/>
              </w:rPr>
            </w:r>
            <w:r>
              <w:rPr>
                <w:rFonts w:ascii="Times New Roman" w:hAnsi="Times New Roman" w:eastAsia="宋体"/>
                <w:b w:val="0"/>
                <w:sz w:val="17"/>
              </w:rPr>
              <w:t>0:00-7:20：2884.909；17:40-17:50：6.109；18:40-20:50：923.662；21:00-24:00：1216.229</w:t>
            </w:r>
          </w:p>
        </w:tc>
      </w:tr>
      <w:tr>
        <w:tc>
          <w:tcPr>
            <w:tcW w:type="dxa" w:w="2075"/>
          </w:tcPr>
          <w:p>
            <w:pPr>
              <w:spacing w:before="0" w:after="0" w:line="240" w:lineRule="auto"/>
              <w:jc w:val="center"/>
            </w:pPr>
            <w:r>
              <w:rPr>
                <w:sz w:val="17"/>
              </w:rPr>
            </w:r>
            <w:r>
              <w:rPr>
                <w:rFonts w:ascii="Times New Roman" w:hAnsi="Times New Roman" w:eastAsia="宋体"/>
                <w:b w:val="0"/>
                <w:sz w:val="17"/>
              </w:rPr>
              <w:t>2025-09-23</w:t>
            </w:r>
          </w:p>
        </w:tc>
        <w:tc>
          <w:tcPr>
            <w:tcW w:type="dxa" w:w="2075"/>
          </w:tcPr>
          <w:p>
            <w:pPr>
              <w:spacing w:before="0" w:after="0" w:line="240" w:lineRule="auto"/>
              <w:jc w:val="center"/>
            </w:pPr>
            <w:r>
              <w:rPr>
                <w:sz w:val="17"/>
              </w:rPr>
            </w:r>
            <w:r>
              <w:rPr>
                <w:rFonts w:ascii="Times New Roman" w:hAnsi="Times New Roman" w:eastAsia="宋体"/>
                <w:b w:val="0"/>
                <w:sz w:val="17"/>
              </w:rPr>
              <w:t>62003.33</w:t>
            </w:r>
          </w:p>
        </w:tc>
        <w:tc>
          <w:tcPr>
            <w:tcW w:type="dxa" w:w="2075"/>
          </w:tcPr>
          <w:p>
            <w:pPr>
              <w:spacing w:before="0" w:after="0" w:line="240" w:lineRule="auto"/>
              <w:jc w:val="center"/>
            </w:pPr>
            <w:r>
              <w:rPr>
                <w:sz w:val="17"/>
              </w:rPr>
            </w:r>
            <w:r>
              <w:rPr>
                <w:rFonts w:ascii="Times New Roman" w:hAnsi="Times New Roman" w:eastAsia="宋体"/>
                <w:b w:val="0"/>
                <w:sz w:val="17"/>
              </w:rPr>
              <w:t>1035.583</w:t>
            </w:r>
          </w:p>
        </w:tc>
        <w:tc>
          <w:tcPr>
            <w:tcW w:type="dxa" w:w="2075"/>
          </w:tcPr>
          <w:p>
            <w:pPr>
              <w:spacing w:before="0" w:after="0" w:line="240" w:lineRule="auto"/>
              <w:jc w:val="center"/>
            </w:pPr>
            <w:r>
              <w:rPr>
                <w:sz w:val="17"/>
              </w:rPr>
            </w:r>
            <w:r>
              <w:rPr>
                <w:rFonts w:ascii="Times New Roman" w:hAnsi="Times New Roman" w:eastAsia="宋体"/>
                <w:b w:val="0"/>
                <w:sz w:val="17"/>
              </w:rPr>
              <w:t>5:50-8:00：990.444；8:20-8:40：45.139</w:t>
            </w:r>
          </w:p>
        </w:tc>
      </w:tr>
      <w:tr>
        <w:tc>
          <w:tcPr>
            <w:tcW w:type="dxa" w:w="2075"/>
          </w:tcPr>
          <w:p>
            <w:pPr>
              <w:spacing w:before="0" w:after="0" w:line="240" w:lineRule="auto"/>
              <w:jc w:val="center"/>
            </w:pPr>
            <w:r>
              <w:rPr>
                <w:sz w:val="17"/>
              </w:rPr>
            </w:r>
            <w:r>
              <w:rPr>
                <w:rFonts w:ascii="Times New Roman" w:hAnsi="Times New Roman" w:eastAsia="宋体"/>
                <w:b w:val="0"/>
                <w:sz w:val="17"/>
              </w:rPr>
              <w:t>2025-12-21</w:t>
            </w:r>
          </w:p>
        </w:tc>
        <w:tc>
          <w:tcPr>
            <w:tcW w:type="dxa" w:w="2075"/>
          </w:tcPr>
          <w:p>
            <w:pPr>
              <w:spacing w:before="0" w:after="0" w:line="240" w:lineRule="auto"/>
              <w:jc w:val="center"/>
            </w:pPr>
            <w:r>
              <w:rPr>
                <w:sz w:val="17"/>
              </w:rPr>
            </w:r>
            <w:r>
              <w:rPr>
                <w:rFonts w:ascii="Times New Roman" w:hAnsi="Times New Roman" w:eastAsia="宋体"/>
                <w:b w:val="0"/>
                <w:sz w:val="17"/>
              </w:rPr>
              <w:t>85179.87</w:t>
            </w:r>
          </w:p>
        </w:tc>
        <w:tc>
          <w:tcPr>
            <w:tcW w:type="dxa" w:w="2075"/>
          </w:tcPr>
          <w:p>
            <w:pPr>
              <w:spacing w:before="0" w:after="0" w:line="240" w:lineRule="auto"/>
              <w:jc w:val="center"/>
            </w:pPr>
            <w:r>
              <w:rPr>
                <w:sz w:val="17"/>
              </w:rPr>
            </w:r>
            <w:r>
              <w:rPr>
                <w:rFonts w:ascii="Times New Roman" w:hAnsi="Times New Roman" w:eastAsia="宋体"/>
                <w:b w:val="0"/>
                <w:sz w:val="17"/>
              </w:rPr>
              <w:t>6947.475</w:t>
            </w:r>
          </w:p>
        </w:tc>
        <w:tc>
          <w:tcPr>
            <w:tcW w:type="dxa" w:w="2075"/>
          </w:tcPr>
          <w:p>
            <w:pPr>
              <w:spacing w:before="0" w:after="0" w:line="240" w:lineRule="auto"/>
              <w:jc w:val="center"/>
            </w:pPr>
            <w:r>
              <w:rPr>
                <w:sz w:val="17"/>
              </w:rPr>
            </w:r>
            <w:r>
              <w:rPr>
                <w:rFonts w:ascii="Times New Roman" w:hAnsi="Times New Roman" w:eastAsia="宋体"/>
                <w:b w:val="0"/>
                <w:sz w:val="17"/>
              </w:rPr>
              <w:t>0:00-0:30：65.624；1:00-11:50：6233.219；17:10-17:40：62.672；18:00-19:30：233.722</w:t>
              <w:br/>
              <w:t>19:40-20:10：117.099；20:30-20:40：3.296；21:20-21:30：18.253；21:40-22:10：65.458</w:t>
              <w:br/>
              <w:t>22:20-22:30：5.436；22:50-23:20：82.538；23:30-23:50：60.158</w:t>
            </w:r>
          </w:p>
        </w:tc>
      </w:tr>
    </w:tbl>
    <w:p>
      <w:pPr>
        <w:spacing w:before="0" w:after="0" w:line="300" w:lineRule="auto"/>
        <w:ind w:firstLine="480"/>
      </w:pPr>
      <w:r>
        <w:rPr>
          <w:rFonts w:ascii="Times New Roman" w:hAnsi="Times New Roman" w:eastAsia="宋体"/>
          <w:b w:val="0"/>
          <w:sz w:val="24"/>
        </w:rPr>
        <w:t>完整的144点计划、储能状态和所有紧急购电区间见result3.xlsx；本表只压缩展示题面指定日期，避免正文被逐日明细淹没。</w:t>
      </w:r>
    </w:p>
    <w:p>
      <w:pPr>
        <w:spacing w:before="0" w:after="0" w:line="300" w:lineRule="auto"/>
        <w:ind w:firstLine="480"/>
      </w:pPr>
      <w:r>
        <w:rPr>
          <w:rFonts w:ascii="Times New Roman" w:hAnsi="Times New Roman" w:eastAsia="宋体"/>
          <w:b w:val="0"/>
          <w:sz w:val="24"/>
        </w:rPr>
        <w:t>两张表的交叉核对显示，Q3在四个指定日期的日费用均高于Q2，差额分别为7055.79、3616.93、8357.81和10790.27元。9月23日Q2没有紧急购电而Q3出现1035.583 kWh，6月21日Q3区间数虽由5个变为4个，紧急总量却增加到5030.908 kWh。这说明区间数量、缺口总量和日费用分别反映持续性、规模与价格暴露，不能用其中一个指标替代另外两个。</w:t>
      </w:r>
    </w:p>
    <w:p>
      <w:pPr>
        <w:pageBreakBefore/>
        <w:spacing w:before="0" w:after="0" w:line="300" w:lineRule="auto"/>
        <w:jc w:val="center"/>
      </w:pPr>
      <w:r>
        <w:rPr>
          <w:rFonts w:ascii="Times New Roman" w:hAnsi="Times New Roman" w:eastAsia="宋体"/>
          <w:b/>
          <w:sz w:val="32"/>
        </w:rPr>
        <w:t>八、敏感性、稳健性与局限</w:t>
      </w:r>
    </w:p>
    <w:p>
      <w:pPr>
        <w:spacing w:before="0" w:after="0" w:line="300" w:lineRule="auto"/>
      </w:pPr>
      <w:r>
        <w:rPr>
          <w:rFonts w:ascii="Times New Roman" w:hAnsi="Times New Roman" w:eastAsia="宋体"/>
          <w:b w:val="0"/>
          <w:sz w:val="28"/>
        </w:rPr>
        <w:t>8.1 光伏保守系数敏感性</w:t>
      </w:r>
    </w:p>
    <w:p>
      <w:r>
        <w:t>表12  Q2光伏保守系数敏感性</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系数</w:t>
            </w:r>
          </w:p>
        </w:tc>
        <w:tc>
          <w:tcPr>
            <w:tcW w:type="dxa" w:w="2767"/>
            <w:tcBorders>
              <w:bottom w:val="single" w:sz="4" w:space="0" w:color="000000"/>
            </w:tcBorders>
          </w:tcPr>
          <w:p>
            <w:pPr>
              <w:jc w:val="center"/>
            </w:pPr>
            <w:r/>
            <w:r>
              <w:rPr>
                <w:rFonts w:ascii="Times New Roman" w:hAnsi="Times New Roman" w:eastAsia="宋体"/>
                <w:b/>
                <w:sz w:val="24"/>
              </w:rPr>
              <w:t>全年费用/元</w:t>
            </w:r>
          </w:p>
        </w:tc>
        <w:tc>
          <w:tcPr>
            <w:tcW w:type="dxa" w:w="2767"/>
            <w:tcBorders>
              <w:bottom w:val="single" w:sz="4" w:space="0" w:color="000000"/>
            </w:tcBorders>
          </w:tcPr>
          <w:p>
            <w:pPr>
              <w:jc w:val="center"/>
            </w:pPr>
            <w:r/>
            <w:r>
              <w:rPr>
                <w:rFonts w:ascii="Times New Roman" w:hAnsi="Times New Roman" w:eastAsia="宋体"/>
                <w:b/>
                <w:sz w:val="24"/>
              </w:rPr>
              <w:t>紧急购电/kWh</w:t>
            </w:r>
          </w:p>
        </w:tc>
      </w:tr>
      <w:tr>
        <w:tc>
          <w:tcPr>
            <w:tcW w:type="dxa" w:w="2767"/>
          </w:tcPr>
          <w:p>
            <w:pPr>
              <w:jc w:val="center"/>
            </w:pPr>
            <w:r/>
            <w:r>
              <w:rPr>
                <w:rFonts w:ascii="Times New Roman" w:hAnsi="Times New Roman" w:eastAsia="宋体"/>
                <w:b w:val="0"/>
                <w:sz w:val="24"/>
              </w:rPr>
              <w:t>0.80</w:t>
            </w:r>
          </w:p>
        </w:tc>
        <w:tc>
          <w:tcPr>
            <w:tcW w:type="dxa" w:w="2767"/>
          </w:tcPr>
          <w:p>
            <w:pPr>
              <w:jc w:val="center"/>
            </w:pPr>
            <w:r/>
            <w:r>
              <w:rPr>
                <w:rFonts w:ascii="Times New Roman" w:hAnsi="Times New Roman" w:eastAsia="宋体"/>
                <w:b w:val="0"/>
                <w:sz w:val="24"/>
              </w:rPr>
              <w:t>16622826.83</w:t>
            </w:r>
          </w:p>
        </w:tc>
        <w:tc>
          <w:tcPr>
            <w:tcW w:type="dxa" w:w="2767"/>
          </w:tcPr>
          <w:p>
            <w:pPr>
              <w:jc w:val="center"/>
            </w:pPr>
            <w:r/>
            <w:r>
              <w:rPr>
                <w:rFonts w:ascii="Times New Roman" w:hAnsi="Times New Roman" w:eastAsia="宋体"/>
                <w:b w:val="0"/>
                <w:sz w:val="24"/>
              </w:rPr>
              <w:t>627200.633</w:t>
            </w:r>
          </w:p>
        </w:tc>
      </w:tr>
      <w:tr>
        <w:tc>
          <w:tcPr>
            <w:tcW w:type="dxa" w:w="2767"/>
          </w:tcPr>
          <w:p>
            <w:pPr>
              <w:jc w:val="center"/>
            </w:pPr>
            <w:r/>
            <w:r>
              <w:rPr>
                <w:rFonts w:ascii="Times New Roman" w:hAnsi="Times New Roman" w:eastAsia="宋体"/>
                <w:b w:val="0"/>
                <w:sz w:val="24"/>
              </w:rPr>
              <w:t>0.90</w:t>
            </w:r>
          </w:p>
        </w:tc>
        <w:tc>
          <w:tcPr>
            <w:tcW w:type="dxa" w:w="2767"/>
          </w:tcPr>
          <w:p>
            <w:pPr>
              <w:jc w:val="center"/>
            </w:pPr>
            <w:r/>
            <w:r>
              <w:rPr>
                <w:rFonts w:ascii="Times New Roman" w:hAnsi="Times New Roman" w:eastAsia="宋体"/>
                <w:b w:val="0"/>
                <w:sz w:val="24"/>
              </w:rPr>
              <w:t>16206550.45</w:t>
            </w:r>
          </w:p>
        </w:tc>
        <w:tc>
          <w:tcPr>
            <w:tcW w:type="dxa" w:w="2767"/>
          </w:tcPr>
          <w:p>
            <w:pPr>
              <w:jc w:val="center"/>
            </w:pPr>
            <w:r/>
            <w:r>
              <w:rPr>
                <w:rFonts w:ascii="Times New Roman" w:hAnsi="Times New Roman" w:eastAsia="宋体"/>
                <w:b w:val="0"/>
                <w:sz w:val="24"/>
              </w:rPr>
              <w:t>789872.052</w:t>
            </w:r>
          </w:p>
        </w:tc>
      </w:tr>
      <w:tr>
        <w:tc>
          <w:tcPr>
            <w:tcW w:type="dxa" w:w="2767"/>
          </w:tcPr>
          <w:p>
            <w:pPr>
              <w:jc w:val="center"/>
            </w:pPr>
            <w:r/>
            <w:r>
              <w:rPr>
                <w:rFonts w:ascii="Times New Roman" w:hAnsi="Times New Roman" w:eastAsia="宋体"/>
                <w:b w:val="0"/>
                <w:sz w:val="24"/>
              </w:rPr>
              <w:t>1.00</w:t>
            </w:r>
          </w:p>
        </w:tc>
        <w:tc>
          <w:tcPr>
            <w:tcW w:type="dxa" w:w="2767"/>
          </w:tcPr>
          <w:p>
            <w:pPr>
              <w:jc w:val="center"/>
            </w:pPr>
            <w:r/>
            <w:r>
              <w:rPr>
                <w:rFonts w:ascii="Times New Roman" w:hAnsi="Times New Roman" w:eastAsia="宋体"/>
                <w:b w:val="0"/>
                <w:sz w:val="24"/>
              </w:rPr>
              <w:t>17440007.68</w:t>
            </w:r>
          </w:p>
        </w:tc>
        <w:tc>
          <w:tcPr>
            <w:tcW w:type="dxa" w:w="2767"/>
          </w:tcPr>
          <w:p>
            <w:pPr>
              <w:jc w:val="center"/>
            </w:pPr>
            <w:r/>
            <w:r>
              <w:rPr>
                <w:rFonts w:ascii="Times New Roman" w:hAnsi="Times New Roman" w:eastAsia="宋体"/>
                <w:b w:val="0"/>
                <w:sz w:val="24"/>
              </w:rPr>
              <w:t>1333753.169</w:t>
            </w:r>
          </w:p>
        </w:tc>
      </w:tr>
    </w:tbl>
    <w:p>
      <w:pPr>
        <w:spacing w:before="0" w:after="0" w:line="300" w:lineRule="auto"/>
        <w:ind w:firstLine="480"/>
      </w:pPr>
      <w:r>
        <w:rPr>
          <w:rFonts w:ascii="Times New Roman" w:hAnsi="Times New Roman" w:eastAsia="宋体"/>
          <w:b w:val="0"/>
          <w:sz w:val="24"/>
        </w:rPr>
        <w:t>在当前附件和日电量—形状负荷预测下，0.9系数给出最低的回测费用；0.8虽然减少了紧急购电量，却增加了计划购电，1.0则在预测偏乐观时显著增加紧急购电。这个结论只对当前回测窗口和成本口径成立，不宣称0.9是普适最优。</w:t>
      </w:r>
    </w:p>
    <w:p>
      <w:pPr>
        <w:spacing w:before="0" w:after="0" w:line="300" w:lineRule="auto"/>
      </w:pPr>
      <w:r>
        <w:rPr>
          <w:rFonts w:ascii="Times New Roman" w:hAnsi="Times New Roman" w:eastAsia="宋体"/>
          <w:b w:val="0"/>
          <w:sz w:val="28"/>
        </w:rPr>
        <w:t>8.2 对抗性核验</w:t>
      </w:r>
    </w:p>
    <w:p>
      <w:pPr>
        <w:spacing w:before="0" w:after="0" w:line="300" w:lineRule="auto"/>
        <w:ind w:firstLine="480"/>
      </w:pPr>
      <w:r>
        <w:rPr>
          <w:rFonts w:ascii="Times New Roman" w:hAnsi="Times New Roman" w:eastAsia="宋体"/>
          <w:b w:val="0"/>
          <w:sz w:val="24"/>
        </w:rPr>
        <w:t>外部经验贴仅用于方法讨论，本文不采用其中未经复现的数字或未来信息路径。重点检查包括：计划与调整结算是否分项相加、Q4-2与Q4-3是否从独立分支启动、负荷预测是否只使用目标日前数据、MILP与网格DP是否在同一端点条件下比较，以及结果工作簿是否保留题面要求的工作表。</w:t>
      </w:r>
    </w:p>
    <w:p>
      <w:pPr>
        <w:spacing w:before="0" w:after="0" w:line="300" w:lineRule="auto"/>
      </w:pPr>
      <w:r>
        <w:rPr>
          <w:rFonts w:ascii="Times New Roman" w:hAnsi="Times New Roman" w:eastAsia="宋体"/>
          <w:b w:val="0"/>
          <w:sz w:val="28"/>
        </w:rPr>
        <w:t>8.3 局限</w:t>
      </w:r>
    </w:p>
    <w:p>
      <w:pPr>
        <w:spacing w:before="0" w:after="0" w:line="300" w:lineRule="auto"/>
        <w:ind w:firstLine="480"/>
      </w:pPr>
      <w:r>
        <w:rPr>
          <w:rFonts w:ascii="Times New Roman" w:hAnsi="Times New Roman" w:eastAsia="宋体"/>
          <w:b w:val="0"/>
          <w:sz w:val="24"/>
        </w:rPr>
        <w:t>当前模型把预测表示为单一路径，尚未建立完整场景树或概率预测区间，也未建模通信延迟、电池退化、负荷可移峰和CVaR风险度量。因此全年数值只能解释为本地附件回测基线；后续若引入鲁棒或随机模型，应重新估计场景、重算全部结果并重新审计。</w:t>
      </w:r>
    </w:p>
    <w:p>
      <w:pPr>
        <w:jc w:val="center"/>
      </w:pPr>
      <w:r>
        <w:drawing>
          <wp:inline xmlns:a="http://schemas.openxmlformats.org/drawingml/2006/main" xmlns:pic="http://schemas.openxmlformats.org/drawingml/2006/picture">
            <wp:extent cx="5303520" cy="2586862"/>
            <wp:docPr id="8" name="Picture 8"/>
            <wp:cNvGraphicFramePr>
              <a:graphicFrameLocks noChangeAspect="1"/>
            </wp:cNvGraphicFramePr>
            <a:graphic>
              <a:graphicData uri="http://schemas.openxmlformats.org/drawingml/2006/picture">
                <pic:pic>
                  <pic:nvPicPr>
                    <pic:cNvPr id="0" name="process_q2_q4_compare.png"/>
                    <pic:cNvPicPr/>
                  </pic:nvPicPr>
                  <pic:blipFill>
                    <a:blip r:embed="rId16"/>
                    <a:stretch>
                      <a:fillRect/>
                    </a:stretch>
                  </pic:blipFill>
                  <pic:spPr>
                    <a:xfrm>
                      <a:off x="0" y="0"/>
                      <a:ext cx="5303520" cy="2586862"/>
                    </a:xfrm>
                    <a:prstGeom prst="rect"/>
                  </pic:spPr>
                </pic:pic>
              </a:graphicData>
            </a:graphic>
          </wp:inline>
        </w:drawing>
      </w:r>
    </w:p>
    <w:p>
      <w:pPr>
        <w:jc w:val="center"/>
      </w:pPr>
      <w:r>
        <w:t>图8  固定价格与波动价格下的日费用对比</w:t>
      </w:r>
    </w:p>
    <w:p>
      <w:pPr>
        <w:pageBreakBefore/>
        <w:spacing w:before="0" w:after="0" w:line="300" w:lineRule="auto"/>
        <w:jc w:val="center"/>
      </w:pPr>
      <w:r>
        <w:rPr>
          <w:rFonts w:ascii="Times New Roman" w:hAnsi="Times New Roman" w:eastAsia="宋体"/>
          <w:b/>
          <w:sz w:val="32"/>
        </w:rPr>
        <w:t>九、结论与可复现性</w:t>
      </w:r>
    </w:p>
    <w:p>
      <w:pPr>
        <w:spacing w:before="0" w:after="0" w:line="300" w:lineRule="auto"/>
        <w:ind w:firstLine="480"/>
      </w:pPr>
      <w:r>
        <w:rPr>
          <w:rFonts w:ascii="Times New Roman" w:hAnsi="Times New Roman" w:eastAsia="宋体"/>
          <w:b w:val="0"/>
          <w:sz w:val="24"/>
        </w:rPr>
        <w:t>本文以一个统一的十分钟能量平衡模型贯穿四个问题：问题一用互斥MILP得到可执行的单日基准，网格DP提供库存价值的独立校验；问题二用日期因果预测完成全年计划和实际缺口结算；问题三把新预报转化为锁定前缀后的滚动再决策，并按题面规则拆解计划、调减、调增和紧急费用；问题四通过独立分支评估波动价格的影响。在当前334天本地回测中，Q2至Q4-3费用依次为16206550.45、18242015.85、16989713.48和19577410.54元。</w:t>
      </w:r>
    </w:p>
    <w:p>
      <w:pPr>
        <w:spacing w:before="0" w:after="0" w:line="300" w:lineRule="auto"/>
        <w:ind w:firstLine="480"/>
      </w:pPr>
      <w:r>
        <w:rPr>
          <w:rFonts w:ascii="Times New Roman" w:hAnsi="Times New Roman" w:eastAsia="宋体"/>
          <w:b w:val="0"/>
          <w:sz w:val="24"/>
        </w:rPr>
        <w:t>复现命令为：../.venv/bin/python solve_c.py --seed 20260911。结果表位于results/result*.xlsx，逐日账单位于results/daily_metrics.csv，预测诊断位于results/forecast_diagnostics.csv，输入哈希和环境记录位于results/复现记录.json。</w:t>
      </w:r>
    </w:p>
    <w:p>
      <w:pPr>
        <w:spacing w:before="0" w:after="0" w:line="300" w:lineRule="auto"/>
        <w:ind w:firstLine="480"/>
      </w:pPr>
      <w:r>
        <w:rPr>
          <w:rFonts w:ascii="Times New Roman" w:hAnsi="Times New Roman" w:eastAsia="宋体"/>
          <w:b w:val="0"/>
          <w:sz w:val="24"/>
        </w:rPr>
        <w:t>正文中的图1、图2、图3、图4、图5、图6、图7、图8以及表1、表2、表3、表4、表5、表6、表7、表8、表9、表10、表11、表12、表13均在相应方法或结果段落中使用；完整逐十分钟结果保留在结果工作簿中。</w:t>
      </w:r>
    </w:p>
    <w:p>
      <w:r>
        <w:t>表13  交付物清单</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交付物</w:t>
            </w:r>
          </w:p>
        </w:tc>
        <w:tc>
          <w:tcPr>
            <w:tcW w:type="dxa" w:w="2767"/>
            <w:tcBorders>
              <w:bottom w:val="single" w:sz="4" w:space="0" w:color="000000"/>
            </w:tcBorders>
          </w:tcPr>
          <w:p>
            <w:pPr>
              <w:jc w:val="center"/>
            </w:pPr>
            <w:r/>
            <w:r>
              <w:rPr>
                <w:rFonts w:ascii="Times New Roman" w:hAnsi="Times New Roman" w:eastAsia="宋体"/>
                <w:b/>
                <w:sz w:val="24"/>
              </w:rPr>
              <w:t>位置</w:t>
            </w:r>
          </w:p>
        </w:tc>
        <w:tc>
          <w:tcPr>
            <w:tcW w:type="dxa" w:w="2767"/>
            <w:tcBorders>
              <w:bottom w:val="single" w:sz="4" w:space="0" w:color="000000"/>
            </w:tcBorders>
          </w:tcPr>
          <w:p>
            <w:pPr>
              <w:jc w:val="center"/>
            </w:pPr>
            <w:r/>
            <w:r>
              <w:rPr>
                <w:rFonts w:ascii="Times New Roman" w:hAnsi="Times New Roman" w:eastAsia="宋体"/>
                <w:b/>
                <w:sz w:val="24"/>
              </w:rPr>
              <w:t>用途</w:t>
            </w:r>
          </w:p>
        </w:tc>
      </w:tr>
      <w:tr>
        <w:tc>
          <w:tcPr>
            <w:tcW w:type="dxa" w:w="2767"/>
          </w:tcPr>
          <w:p>
            <w:pPr>
              <w:jc w:val="center"/>
            </w:pPr>
            <w:r/>
            <w:r>
              <w:rPr>
                <w:rFonts w:ascii="Times New Roman" w:hAnsi="Times New Roman" w:eastAsia="宋体"/>
                <w:b w:val="0"/>
                <w:sz w:val="24"/>
              </w:rPr>
              <w:t>求解脚本</w:t>
            </w:r>
          </w:p>
        </w:tc>
        <w:tc>
          <w:tcPr>
            <w:tcW w:type="dxa" w:w="2767"/>
          </w:tcPr>
          <w:p>
            <w:pPr>
              <w:jc w:val="center"/>
            </w:pPr>
            <w:r/>
            <w:r>
              <w:rPr>
                <w:rFonts w:ascii="Times New Roman" w:hAnsi="Times New Roman" w:eastAsia="宋体"/>
                <w:b w:val="0"/>
                <w:sz w:val="24"/>
              </w:rPr>
              <w:t>solve_c.py</w:t>
            </w:r>
          </w:p>
        </w:tc>
        <w:tc>
          <w:tcPr>
            <w:tcW w:type="dxa" w:w="2767"/>
          </w:tcPr>
          <w:p>
            <w:pPr>
              <w:jc w:val="center"/>
            </w:pPr>
            <w:r/>
            <w:r>
              <w:rPr>
                <w:rFonts w:ascii="Times New Roman" w:hAnsi="Times New Roman" w:eastAsia="宋体"/>
                <w:b w:val="0"/>
                <w:sz w:val="24"/>
              </w:rPr>
              <w:t>重算Q1—Q4</w:t>
            </w:r>
          </w:p>
        </w:tc>
      </w:tr>
      <w:tr>
        <w:tc>
          <w:tcPr>
            <w:tcW w:type="dxa" w:w="2767"/>
          </w:tcPr>
          <w:p>
            <w:pPr>
              <w:jc w:val="center"/>
            </w:pPr>
            <w:r/>
            <w:r>
              <w:rPr>
                <w:rFonts w:ascii="Times New Roman" w:hAnsi="Times New Roman" w:eastAsia="宋体"/>
                <w:b w:val="0"/>
                <w:sz w:val="24"/>
              </w:rPr>
              <w:t>结果工作簿</w:t>
            </w:r>
          </w:p>
        </w:tc>
        <w:tc>
          <w:tcPr>
            <w:tcW w:type="dxa" w:w="2767"/>
          </w:tcPr>
          <w:p>
            <w:pPr>
              <w:jc w:val="center"/>
            </w:pPr>
            <w:r/>
            <w:r>
              <w:rPr>
                <w:rFonts w:ascii="Times New Roman" w:hAnsi="Times New Roman" w:eastAsia="宋体"/>
                <w:b w:val="0"/>
                <w:sz w:val="24"/>
              </w:rPr>
              <w:t>results/result*.xlsx</w:t>
            </w:r>
          </w:p>
        </w:tc>
        <w:tc>
          <w:tcPr>
            <w:tcW w:type="dxa" w:w="2767"/>
          </w:tcPr>
          <w:p>
            <w:pPr>
              <w:jc w:val="center"/>
            </w:pPr>
            <w:r/>
            <w:r>
              <w:rPr>
                <w:rFonts w:ascii="Times New Roman" w:hAnsi="Times New Roman" w:eastAsia="宋体"/>
                <w:b w:val="0"/>
                <w:sz w:val="24"/>
              </w:rPr>
              <w:t>按题面模板复核和提交准备</w:t>
            </w:r>
          </w:p>
        </w:tc>
      </w:tr>
      <w:tr>
        <w:tc>
          <w:tcPr>
            <w:tcW w:type="dxa" w:w="2767"/>
          </w:tcPr>
          <w:p>
            <w:pPr>
              <w:jc w:val="center"/>
            </w:pPr>
            <w:r/>
            <w:r>
              <w:rPr>
                <w:rFonts w:ascii="Times New Roman" w:hAnsi="Times New Roman" w:eastAsia="宋体"/>
                <w:b w:val="0"/>
                <w:sz w:val="24"/>
              </w:rPr>
              <w:t>论文Word</w:t>
            </w:r>
          </w:p>
        </w:tc>
        <w:tc>
          <w:tcPr>
            <w:tcW w:type="dxa" w:w="2767"/>
          </w:tcPr>
          <w:p>
            <w:pPr>
              <w:jc w:val="center"/>
            </w:pPr>
            <w:r/>
            <w:r>
              <w:rPr>
                <w:rFonts w:ascii="Times New Roman" w:hAnsi="Times New Roman" w:eastAsia="宋体"/>
                <w:b w:val="0"/>
                <w:sz w:val="24"/>
              </w:rPr>
              <w:t>完整论文.docx</w:t>
            </w:r>
          </w:p>
        </w:tc>
        <w:tc>
          <w:tcPr>
            <w:tcW w:type="dxa" w:w="2767"/>
          </w:tcPr>
          <w:p>
            <w:pPr>
              <w:jc w:val="center"/>
            </w:pPr>
            <w:r/>
            <w:r>
              <w:rPr>
                <w:rFonts w:ascii="Times New Roman" w:hAnsi="Times New Roman" w:eastAsia="宋体"/>
                <w:b w:val="0"/>
                <w:sz w:val="24"/>
              </w:rPr>
              <w:t>可编辑正文和公式</w:t>
            </w:r>
          </w:p>
        </w:tc>
      </w:tr>
      <w:tr>
        <w:tc>
          <w:tcPr>
            <w:tcW w:type="dxa" w:w="2767"/>
          </w:tcPr>
          <w:p>
            <w:pPr>
              <w:jc w:val="center"/>
            </w:pPr>
            <w:r/>
            <w:r>
              <w:rPr>
                <w:rFonts w:ascii="Times New Roman" w:hAnsi="Times New Roman" w:eastAsia="宋体"/>
                <w:b w:val="0"/>
                <w:sz w:val="24"/>
              </w:rPr>
              <w:t>论文LaTeX</w:t>
            </w:r>
          </w:p>
        </w:tc>
        <w:tc>
          <w:tcPr>
            <w:tcW w:type="dxa" w:w="2767"/>
          </w:tcPr>
          <w:p>
            <w:pPr>
              <w:jc w:val="center"/>
            </w:pPr>
            <w:r/>
            <w:r>
              <w:rPr>
                <w:rFonts w:ascii="Times New Roman" w:hAnsi="Times New Roman" w:eastAsia="宋体"/>
                <w:b w:val="0"/>
                <w:sz w:val="24"/>
              </w:rPr>
              <w:t>完整论文-LaTeX/main.tex</w:t>
            </w:r>
          </w:p>
        </w:tc>
        <w:tc>
          <w:tcPr>
            <w:tcW w:type="dxa" w:w="2767"/>
          </w:tcPr>
          <w:p>
            <w:pPr>
              <w:jc w:val="center"/>
            </w:pPr>
            <w:r/>
            <w:r>
              <w:rPr>
                <w:rFonts w:ascii="Times New Roman" w:hAnsi="Times New Roman" w:eastAsia="宋体"/>
                <w:b w:val="0"/>
                <w:sz w:val="24"/>
              </w:rPr>
              <w:t>Overleaf编译</w:t>
            </w:r>
          </w:p>
        </w:tc>
      </w:tr>
      <w:tr>
        <w:tc>
          <w:tcPr>
            <w:tcW w:type="dxa" w:w="2767"/>
          </w:tcPr>
          <w:p>
            <w:pPr>
              <w:jc w:val="center"/>
            </w:pPr>
            <w:r/>
            <w:r>
              <w:rPr>
                <w:rFonts w:ascii="Times New Roman" w:hAnsi="Times New Roman" w:eastAsia="宋体"/>
                <w:b w:val="0"/>
                <w:sz w:val="24"/>
              </w:rPr>
              <w:t>图形</w:t>
            </w:r>
          </w:p>
        </w:tc>
        <w:tc>
          <w:tcPr>
            <w:tcW w:type="dxa" w:w="2767"/>
          </w:tcPr>
          <w:p>
            <w:pPr>
              <w:jc w:val="center"/>
            </w:pPr>
            <w:r/>
            <w:r>
              <w:rPr>
                <w:rFonts w:ascii="Times New Roman" w:hAnsi="Times New Roman" w:eastAsia="宋体"/>
                <w:b w:val="0"/>
                <w:sz w:val="24"/>
              </w:rPr>
              <w:t>figures/*.png,*.svg</w:t>
            </w:r>
          </w:p>
        </w:tc>
        <w:tc>
          <w:tcPr>
            <w:tcW w:type="dxa" w:w="2767"/>
          </w:tcPr>
          <w:p>
            <w:pPr>
              <w:jc w:val="center"/>
            </w:pPr>
            <w:r/>
            <w:r>
              <w:rPr>
                <w:rFonts w:ascii="Times New Roman" w:hAnsi="Times New Roman" w:eastAsia="宋体"/>
                <w:b w:val="0"/>
                <w:sz w:val="24"/>
              </w:rPr>
              <w:t>论文插图和编辑</w:t>
            </w:r>
          </w:p>
        </w:tc>
      </w:tr>
      <w:tr>
        <w:tc>
          <w:tcPr>
            <w:tcW w:type="dxa" w:w="2767"/>
          </w:tcPr>
          <w:p>
            <w:pPr>
              <w:jc w:val="center"/>
            </w:pPr>
            <w:r/>
            <w:r>
              <w:rPr>
                <w:rFonts w:ascii="Times New Roman" w:hAnsi="Times New Roman" w:eastAsia="宋体"/>
                <w:b w:val="0"/>
                <w:sz w:val="24"/>
              </w:rPr>
              <w:t>研究记录</w:t>
            </w:r>
          </w:p>
        </w:tc>
        <w:tc>
          <w:tcPr>
            <w:tcW w:type="dxa" w:w="2767"/>
          </w:tcPr>
          <w:p>
            <w:pPr>
              <w:jc w:val="center"/>
            </w:pPr>
            <w:r/>
            <w:r>
              <w:rPr>
                <w:rFonts w:ascii="Times New Roman" w:hAnsi="Times New Roman" w:eastAsia="宋体"/>
                <w:b w:val="0"/>
                <w:sz w:val="24"/>
              </w:rPr>
              <w:t>research/</w:t>
            </w:r>
          </w:p>
        </w:tc>
        <w:tc>
          <w:tcPr>
            <w:tcW w:type="dxa" w:w="2767"/>
          </w:tcPr>
          <w:p>
            <w:pPr>
              <w:jc w:val="center"/>
            </w:pPr>
            <w:r/>
            <w:r>
              <w:rPr>
                <w:rFonts w:ascii="Times New Roman" w:hAnsi="Times New Roman" w:eastAsia="宋体"/>
                <w:b w:val="0"/>
                <w:sz w:val="24"/>
              </w:rPr>
              <w:t>样本检索、经验贴审查与方法边界</w:t>
            </w:r>
          </w:p>
        </w:tc>
      </w:tr>
    </w:tbl>
    <w:p>
      <w:pPr>
        <w:pageBreakBefore/>
        <w:spacing w:before="0" w:after="0" w:line="300" w:lineRule="auto"/>
        <w:jc w:val="center"/>
      </w:pPr>
      <w:r>
        <w:rPr>
          <w:rFonts w:ascii="Times New Roman" w:hAnsi="Times New Roman" w:eastAsia="宋体"/>
          <w:b/>
          <w:sz w:val="32"/>
        </w:rPr>
        <w:t>AI工具使用声明</w:t>
      </w:r>
    </w:p>
    <w:p>
      <w:pPr>
        <w:spacing w:before="0" w:after="0" w:line="300" w:lineRule="auto"/>
        <w:ind w:firstLine="480"/>
      </w:pPr>
      <w:r>
        <w:rPr>
          <w:rFonts w:ascii="Times New Roman" w:hAnsi="Times New Roman" w:eastAsia="宋体"/>
          <w:b w:val="0"/>
          <w:sz w:val="24"/>
        </w:rPr>
        <w:t>依据当届竞赛规定，Codex用于资料检索、代码组织、公式排版和结果复核；题面解释、模型假设、参数选择、代码运行、结果解释和最终提交由参赛队员审阅并负责。外部经验贴与公开论文只用于方法参考，不作为未经复现的结果来源。AI工具使用详情另见AI工具使用详情.pdf。</w:t>
      </w:r>
    </w:p>
    <w:p>
      <w:pPr>
        <w:pageBreakBefore/>
        <w:spacing w:before="0" w:after="0" w:line="300" w:lineRule="auto"/>
        <w:jc w:val="center"/>
      </w:pPr>
      <w:r>
        <w:rPr>
          <w:rFonts w:ascii="Times New Roman" w:hAnsi="Times New Roman" w:eastAsia="宋体"/>
          <w:b/>
          <w:sz w:val="32"/>
        </w:rPr>
        <w:t>参考文献</w:t>
      </w:r>
    </w:p>
    <w:p>
      <w:pPr>
        <w:spacing w:before="0" w:after="0" w:line="300" w:lineRule="auto"/>
        <w:ind w:firstLine="480"/>
      </w:pPr>
      <w:r>
        <w:rPr>
          <w:rFonts w:ascii="Times New Roman" w:hAnsi="Times New Roman" w:eastAsia="宋体"/>
          <w:b w:val="0"/>
          <w:sz w:val="24"/>
        </w:rPr>
        <w:t>[1] 全国大学生数学建模竞赛组委会. 全国大学生数学建模竞赛论文格式规范（2023年修订稿）. 中国大学生在线, 2023. https://dxs.moe.gov.cn/zx/a/hd_sxjm_gsyw/231205/1869343.shtml.</w:t>
      </w:r>
    </w:p>
    <w:p>
      <w:pPr>
        <w:spacing w:before="0" w:after="0" w:line="300" w:lineRule="auto"/>
        <w:ind w:firstLine="480"/>
      </w:pPr>
      <w:r>
        <w:rPr>
          <w:rFonts w:ascii="Times New Roman" w:hAnsi="Times New Roman" w:eastAsia="宋体"/>
          <w:b w:val="0"/>
          <w:sz w:val="24"/>
        </w:rPr>
        <w:t>[2] Gulotta F, Crespo del Granado P, Pisciella P, et al. Short-term uncertainty in the dispatch of energy resources for VPP: A novel rolling horizon model based on stochastic programming. International Journal of Electrical Power &amp; Energy Systems, 2023, 153:109355. DOI:10.1016/j.ijepes.2023.109355.</w:t>
      </w:r>
    </w:p>
    <w:p>
      <w:pPr>
        <w:spacing w:before="0" w:after="0" w:line="300" w:lineRule="auto"/>
        <w:ind w:firstLine="480"/>
      </w:pPr>
      <w:r>
        <w:rPr>
          <w:rFonts w:ascii="Times New Roman" w:hAnsi="Times New Roman" w:eastAsia="宋体"/>
          <w:b w:val="0"/>
          <w:sz w:val="24"/>
        </w:rPr>
        <w:t>[3] Hönen J, Hurink J L, Zwart B. Dynamic Rolling Horizon-Based Robust Energy Management for Microgrids Under Uncertainty. arXiv:2307.05154, 2023.</w:t>
      </w:r>
    </w:p>
    <w:p>
      <w:pPr>
        <w:spacing w:before="0" w:after="0" w:line="300" w:lineRule="auto"/>
        <w:ind w:firstLine="480"/>
      </w:pPr>
      <w:r>
        <w:rPr>
          <w:rFonts w:ascii="Times New Roman" w:hAnsi="Times New Roman" w:eastAsia="宋体"/>
          <w:b w:val="0"/>
          <w:sz w:val="24"/>
        </w:rPr>
        <w:t>[4] Hart W E, Laird C, Watson J P, et al. Pyomo—Optimization Modeling in Python. Springer, 2017.</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