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pPr>
      <w:r>
        <w:rPr>
          <w:b w:val="on"/>
          <w:sz w:val="44"/>
        </w:rPr>
        <w:t>Executive Summary</w:t>
      </w:r>
    </w:p>
    <w:p>
      <w:r>
        <w:t>This file is the Victoria Airport Authority’s Request for Proposals (RFP) for outsourced Parking Management Services at Victoria International Airport (YYJ). The Authority seeks a single qualified parking management company to operate and manage all identified parking facilities (two daily lots, a short‑term lot, an employee lot and seasonal overflow), to develop and implement a curbside management program, and to meet defined operational, staffing, customer‑service and performance standards. The RFP invites innovation, encourages Indigenous engagement, and includes appendices and schedules (facility maps, equipment lists, sample reports, passenger data, a draft contract and financial proposal forms).</w:t>
      </w:r>
    </w:p>
    <w:p>
      <w:r>
        <w:t>The principal parties and roles are the Victoria Airport Authority (VAA) as the RFP issuer and contracting authority, and the successful Proponent (the Operator) who will deliver day‑to‑day parking operations under contract. Operational roles specified for delivery include an on‑site manager, Lot Attendant(s) (booth cashiering, patrolling, enforcement), and Curb Management Officer(s) to manage the terminal curb and short‑term commercial lane. The draft Contract term is five years with an optional two‑year renewal at the Authority’s discretion.</w:t>
      </w:r>
    </w:p>
    <w:p>
      <w:r>
        <w:t>Key operational facts and actions:</w:t>
      </w:r>
    </w:p>
    <w:p>
      <w:r>
        <w:t>• Total parking inventory identified: 3,243 spaces (Lot One 1,405; Lot Two 1,281; Short‑Term 166; Employee 391), plus contingency overflow areas.</w:t>
      </w:r>
    </w:p>
    <w:p>
      <w:r>
        <w:t>• Required service elements include cashiering and lot patrols, curb management, ice and snow control per Appendix C, enforcement, reporting and adherence to Quality Standards (Schedule 8 referenced).</w:t>
      </w:r>
    </w:p>
    <w:p>
      <w:r>
        <w:t>• Staffing and local presence requirements include a local office within two months of award and specific minimum coverage: Lot 1 booth staffed at least 20 hours/day, seven days/week; Curb Management coverage at least 15.5 hours/day, seven days/week; Lot 2 booth coverage during peak holiday periods as required.</w:t>
      </w:r>
    </w:p>
    <w:p>
      <w:r>
        <w:t>• The RFP sets out rights reserved by VAA (clarification, negotiation, waiver of minor non‑compliance, acceptance of best overall value, cancellation of the RFP).</w:t>
      </w:r>
    </w:p>
    <w:p>
      <w:r>
        <w:t>This briefing is limited to the excerpt provided; key contractual and financial details are referenced but not present in the excerpt (notably Schedule Five — Financial Proposal Forms — and Appendix H — Draft Form of Management Contract). Those should be reviewed immediately to complete financial and legal due diligence.</w:t>
      </w:r>
    </w:p>
    <w:p>
      <w:pPr>
        <w:pStyle w:val="Heading1"/>
      </w:pPr>
      <w:r>
        <w:rPr>
          <w:b w:val="on"/>
          <w:sz w:val="44"/>
        </w:rPr>
        <w:t>Key Dates and Timeline</w:t>
      </w:r>
    </w:p>
    <w:p>
      <w:r>
        <w:t>Presented in chronological order as stated in the RFP:</w:t>
      </w:r>
    </w:p>
    <w:p>
      <w:r>
        <w:t>1. RFP Date of Issue — February 13, 2025.   2. Proposal Submission Deadline — March 31, 2025 at 2:00 pm Pacific Standard Time.      - Note: the RFP text contains a typographical “March 31th, 2025” but the calendar date and time are explicit. The stated timezone is Pacific Standard Time.      - This yields a proposal window of approximately seven weeks from issue to submission, which is relatively short for complex operational and financial proposals and should be flagged by Proponents as a tight turnaround.   3. Contract Start Date (if awarded) — June 1, 2025.      - On‑site manager resume must be provided before this date.   4. Contract End Date (base term) — May 31, 2030.   5. Renewal Option — one renewal of two years at the Authority’s sole discretion (dates contingent on exercise of option).   6. Local Office Requirement — local office must be established (if not already present) within two months of Contract award (award date not specified in excerpt).</w:t>
      </w:r>
    </w:p>
    <w:p>
      <w:r>
        <w:t>Operational timing requirements (not date‑specific but contractually significant):</w:t>
      </w:r>
    </w:p>
    <w:p>
      <w:r>
        <w:t xml:space="preserve">• Lot 1 booth: minimum 20 hours per day, seven days per week.  </w:t>
      </w:r>
    </w:p>
    <w:p>
      <w:r>
        <w:t xml:space="preserve">• Curb Management Officer(s): minimum 15.5 hours per day, seven days per week.  </w:t>
      </w:r>
    </w:p>
    <w:p>
      <w:r>
        <w:t>• Lot 2 booth: staffing during peak holiday periods (e.g., Thanksgiving, Christmas) as required.</w:t>
      </w:r>
    </w:p>
    <w:p>
      <w:r>
        <w:t>Flag — unusually tight timelines:</w:t>
      </w:r>
    </w:p>
    <w:p>
      <w:r>
        <w:t>• The interval from RFP issue (13 Feb) to submission deadline (31 Mar) is short for producing a detailed operational and financial proposal, performing site assessments and developing Indigenous engagement plans. Proponents should plan resource allocation accordingly.</w:t>
      </w:r>
    </w:p>
    <w:p>
      <w:pPr>
        <w:pStyle w:val="Heading1"/>
      </w:pPr>
      <w:r>
        <w:rPr>
          <w:b w:val="on"/>
          <w:sz w:val="44"/>
        </w:rPr>
        <w:t>Key Entities and Stakeholders</w:t>
      </w:r>
    </w:p>
    <w:p>
      <w:r>
        <w:t>Below are the organizations and roles explicitly named or required in the RFP excerpt, with role and relevance. No direct contact details are present in the excerpt.</w:t>
      </w:r>
    </w:p>
    <w:p>
      <w:r>
        <w:t xml:space="preserve">• Victoria Airport Authority (VAA)  </w:t>
      </w:r>
    </w:p>
    <w:p>
      <w:r>
        <w:t xml:space="preserve">  Role: RFP issuer and contracting authority; responsible for evaluation, award, contract oversight and operational standards. Relevance: principal decision‑maker and counterparty to the Operator.</w:t>
      </w:r>
    </w:p>
    <w:p>
      <w:r>
        <w:t xml:space="preserve">• Victoria International Airport (YYJ)  </w:t>
      </w:r>
    </w:p>
    <w:p>
      <w:r>
        <w:t xml:space="preserve">  Role: Airport asset and location for the Parking Facilities to be managed. Relevance: physical site and operational context for services.</w:t>
      </w:r>
    </w:p>
    <w:p>
      <w:r>
        <w:t xml:space="preserve">• Proponent / Parking Management Company (the Operator)  </w:t>
      </w:r>
    </w:p>
    <w:p>
      <w:r>
        <w:t xml:space="preserve">  Role: respondent to the RFP; if selected, will operate and manage the Parking Facilities under the Contract. Relevance: bidder/contractor responsible for delivery, staffing, reporting and meeting Quality Standards.</w:t>
      </w:r>
    </w:p>
    <w:p>
      <w:r>
        <w:t xml:space="preserve">• Authority’s Authorized Representative  </w:t>
      </w:r>
    </w:p>
    <w:p>
      <w:r>
        <w:t xml:space="preserve">  Role: VAA’s designated contact/representative for RFP administration and contract matters. Relevance: operational liaison and escalation point (no name/contact in excerpt).</w:t>
      </w:r>
    </w:p>
    <w:p>
      <w:r>
        <w:t xml:space="preserve">• Indigenous Nations / Traditional territory holders  </w:t>
      </w:r>
    </w:p>
    <w:p>
      <w:r>
        <w:t xml:space="preserve">  - W̱SÁNEĆ people (territorial acknowledgment)     - Tseycum First Nation     - Tsartlip First Nation     - Tsawout First Nation     - Pauquachin First Nation     Role: local Indigenous Nations referenced for relationship, partnership and engagement opportunities. Relevance: the RFP encourages Indigenous business engagement, skills training and employment — opportunities and obligations for Proponents.</w:t>
      </w:r>
    </w:p>
    <w:p>
      <w:r>
        <w:t xml:space="preserve">• On‑site Manager (required position)  </w:t>
      </w:r>
    </w:p>
    <w:p>
      <w:r>
        <w:t xml:space="preserve">  Role: full‑time, on‑site manager responsible for daily operations; resume required before Contract start. Relevance: primary operational lead and VAA’s day‑to‑day contact for the Operator.</w:t>
      </w:r>
    </w:p>
    <w:p>
      <w:r>
        <w:t xml:space="preserve">• Lot Attendant(s)  </w:t>
      </w:r>
    </w:p>
    <w:p>
      <w:r>
        <w:t xml:space="preserve">  Role: booth cashiering, lot patrols, trash pickup, customer assistance, enforcement duties. Relevance: front‑line staffing for Lot 1 (minimum 20 hours/day) and intermittent coverage for Lot 2.</w:t>
      </w:r>
    </w:p>
    <w:p>
      <w:r>
        <w:t xml:space="preserve">• Curb Management Officer(s)  </w:t>
      </w:r>
    </w:p>
    <w:p>
      <w:r>
        <w:t xml:space="preserve">  Role: manage shared‑use terminal curbs and the commercial lane in the short‑term lot. Relevance: required minimum coverage 15.5 hours/day; central to curbside flow and passenger experience.</w:t>
      </w:r>
    </w:p>
    <w:p>
      <w:r>
        <w:t>• Other defined roles/terms referenced (for contractual context): Proponent, Proposal, Operator, Parking Facilities, Quality Standards, Revenue, Net Book Value, Sales Tax.</w:t>
      </w:r>
    </w:p>
    <w:p>
      <w:r>
        <w:t>Contact information: none provided in the excerpt. The full RFP (Schedule Seven: Contact Information Form or the transmittal pages) should be consulted to obtain submission addresses, authorized contact names, and any bid‑clarification contacts.</w:t>
      </w:r>
    </w:p>
    <w:p>
      <w:pPr>
        <w:pStyle w:val="Heading1"/>
      </w:pPr>
      <w:r>
        <w:rPr>
          <w:b w:val="on"/>
          <w:sz w:val="44"/>
        </w:rPr>
        <w:t>Financial Information</w:t>
      </w:r>
    </w:p>
    <w:p>
      <w:r>
        <w:t>Summary of financial content present and gaps:</w:t>
      </w:r>
    </w:p>
    <w:p>
      <w:r>
        <w:t>• The excerpt contains definitions relevant to finance (Revenue, Net Book Value, Sales Tax) but contains no explicit monetary amounts, fee schedules, revenue‑share models or budget figures.</w:t>
      </w:r>
    </w:p>
    <w:p>
      <w:r>
        <w:t>• Financial documents referenced but not included in the excerpt:</w:t>
      </w:r>
    </w:p>
    <w:p>
      <w:r>
        <w:t xml:space="preserve">  - Schedule Five — Financial Proposal Forms (expected to contain pricing templates, fee schedules, revenue sharing or fixed fee proposals).     - Appendix H — Draft Form of Management Contract (expected to contain payment terms, remittance, audit rights, liability and insurance clauses, security deposits or financial guarantees).</w:t>
      </w:r>
    </w:p>
    <w:p>
      <w:r>
        <w:t>• The RFP lists parking rates in Appendix B (not included in this excerpt) — these will be critical to revenue modelling.</w:t>
      </w:r>
    </w:p>
    <w:p>
      <w:r>
        <w:t>Recommended actions and items to review immediately (priority for any Proponent financial analysis): 1. Open and review Schedule Five (Financial Proposal Forms) to understand required pricing format, whether VAA expects revenue share, fixed management fee, or hybrid; payment frequency; reporting cadence; and any cost recovery clauses. 2. Review Appendix H (Draft Contract) for financial clauses: invoicing, revenue remittance, audit and reconciliation processes, funds custody (who collects and deposits), insurance, indemnities, security/guarantees, termination payments, and any agreed fee escalators or CPI adjustments. 3. Review Appendix B (Parking Lot Rates) and Appendix F (Passenger Activity and Market Information) to construct revenue forecasts and sensitivity analyses. 4. Confirm any tax remittance obligations (Sales Tax definition is present) and provincial/federal requirements for collected revenue.</w:t>
      </w:r>
    </w:p>
    <w:p>
      <w:r>
        <w:t>Concise financial status table</w:t>
      </w:r>
    </w:p>
    <w:p>
      <w:r>
        <w:t>| Item | Status / Notes | |---|---| | Explicit monetary amounts in excerpt | None provided | | Financial forms (Schedule Five) | Referenced but not included — contains required financial proposal templates | | Draft contract (Appendix H) | Referenced but not included — should be reviewed for payment and liability terms | | Parking rates (Appendix B) | Referenced — required to build revenue model | | Revenue definition &amp; tax note | Present (Revenue defined; Sales Tax referenced) |</w:t>
      </w:r>
    </w:p>
    <w:p>
      <w:pPr>
        <w:pStyle w:val="Heading1"/>
      </w:pPr>
      <w:r>
        <w:rPr>
          <w:b w:val="on"/>
          <w:sz w:val="44"/>
        </w:rPr>
        <w:t>Gaps, Risks and Immediate Next Steps</w:t>
      </w:r>
    </w:p>
    <w:p>
      <w:r>
        <w:t>Gaps evident in the excerpt:</w:t>
      </w:r>
    </w:p>
    <w:p>
      <w:r>
        <w:t>• No evaluation criteria or scoring matrix provided in the excerpt (though referenced). Proponents must locate this to prioritize proposal content.</w:t>
      </w:r>
    </w:p>
    <w:p>
      <w:r>
        <w:t>• No financial terms or pricing model in excerpt; Schedule Five and Appendix H must be reviewed to price bids correctly.</w:t>
      </w:r>
    </w:p>
    <w:p>
      <w:r>
        <w:t>• No contact names or submission address in provided excerpt; check the full RFP front matter/Schedule Seven for submission and clarification contacts.</w:t>
      </w:r>
    </w:p>
    <w:p>
      <w:r>
        <w:t>Risks for Proponents:</w:t>
      </w:r>
    </w:p>
    <w:p>
      <w:r>
        <w:t>• Compressed timeline between issuance and submission — allocate resources promptly.</w:t>
      </w:r>
    </w:p>
    <w:p>
      <w:r>
        <w:t>• Potential ambiguity in the timezone stated for the submission deadline (the document uses “Pacific Standard Time” for a date that falls within daylight saving time; use the exact RFP language when interpreting deadline).</w:t>
      </w:r>
    </w:p>
    <w:p>
      <w:r>
        <w:t>• Operational obligations (minimum coverage hours, on‑site presence within two months, snow/ice control) may have cost implications that must be modelled if the financial form expects net revenue sharing or fixed fees.</w:t>
      </w:r>
    </w:p>
    <w:p>
      <w:r>
        <w:t>Immediate next steps for an analyst or bidder: 1. Obtain the full RFP package and read Schedule Five, Appendix H, Appendix B and Schedule 8 (Quality Standards) in full.   2. Confirm submission address, authorized contacts and any scheduled pre‑proposal/site visits or Q&amp;A deadlines.   3. Start drafting financial models tied to the parking rate schedule and passenger activity data; cost out staffing to meet minimum coverage and seasonal peaks.   4. Prepare Indigenous engagement proposals and a local presence plan (local office timeline and on‑site manager hire/assignment).   5. Log the submission deadline and plan internal reviews with sufficient time for quality control.</w:t>
      </w:r>
    </w:p>
    <w:p>
      <w:pPr>
        <w:pStyle w:val="Heading1"/>
      </w:pPr>
      <w:r>
        <w:rPr>
          <w:b w:val="on"/>
          <w:sz w:val="44"/>
        </w:rPr>
        <w:t>Conclusion</w:t>
      </w:r>
    </w:p>
    <w:p>
      <w:r>
        <w:t>The RFP seeks a comprehensive parking operator to run YYJ’s parking portfolio under a five‑year contract beginning June 1, 2025. The excerpt establishes operational scope, staffing minima, and dates that create a condensed proposal timeline. Critical financial and contractual details are referenced but not contained in the excerpt; immediate review of Schedule Five and Appendix H is essential to produce a compliant and competitive proposal.</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2026-04-26T15:51:34Z</dcterms:created>
  <dc:creator>Apache POI</dc:creator>
</cp:coreProperties>
</file>