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pPr>
      <w:r>
        <w:rPr>
          <w:b w:val="on"/>
          <w:sz w:val="44"/>
        </w:rPr>
        <w:t xml:space="preserve">Victoria Airport Authority — RFP: 2025 Parking Management Services  </w:t>
      </w:r>
    </w:p>
    <w:p>
      <w:r>
        <w:t>Briefing report based on the provided RFP summary</w:t>
      </w:r>
    </w:p>
    <w:p>
      <w:r>
        <w:t>---</w:t>
      </w:r>
    </w:p>
    <w:p>
      <w:pPr>
        <w:pStyle w:val="Heading2"/>
      </w:pPr>
      <w:r>
        <w:rPr>
          <w:b w:val="on"/>
          <w:sz w:val="36"/>
        </w:rPr>
        <w:t>1. Executive Summary</w:t>
      </w:r>
    </w:p>
    <w:p>
      <w:r>
        <w:t>This document is a Request for Proposals (RFP) issued by the Victoria Airport Authority (VAA) seeking a single qualified parking management company to operate and manage the parking facilities at Victoria International Airport (YYJ). The Authority requires a Proponent to run all public lots and the employee lot, implement a curbside management program, perform ice and snow control, meet defined quality and performance standards, and provide high levels of customer service. The Contract term is five years with an option for a single two‑year renewal at the Authority’s discretion.</w:t>
      </w:r>
    </w:p>
    <w:p>
      <w:r>
        <w:t>Primary responsibilities expected of the successful Proponent include day‑to‑day operation and staffing, curb management along the terminal frontage and short‑term lot commercial lane, system and equipment operation (per Appendices), reporting (per Schedules), Indigenous business engagement, and responsiveness during peak/overflow periods. The RFP emphasizes experience in airport parking, knowledge of contemporary parking technologies and best practices, and opportunities for Indigenous engagement.</w:t>
      </w:r>
    </w:p>
    <w:p>
      <w:r>
        <w:t>Key immediate actions for any prospective Proponent:</w:t>
      </w:r>
    </w:p>
    <w:p>
      <w:r>
        <w:t>• Prepare and submit a compliant Proposal by the stated deadline.</w:t>
      </w:r>
    </w:p>
    <w:p>
      <w:r>
        <w:t>• Ensure financial proposals follow Schedule Five and account for wage/benefit requirements and mobilization costs.</w:t>
      </w:r>
    </w:p>
    <w:p>
      <w:r>
        <w:t>• Plan for rapid local mobilization (local office requirement) and provide the on‑site manager resume prior to contract commencement.</w:t>
      </w:r>
    </w:p>
    <w:p>
      <w:r>
        <w:t>• Design a curbside management program and staffing plan that meets the required coverage hours.</w:t>
      </w:r>
    </w:p>
    <w:p>
      <w:r>
        <w:t>---</w:t>
      </w:r>
    </w:p>
    <w:p>
      <w:pPr>
        <w:pStyle w:val="Heading2"/>
      </w:pPr>
      <w:r>
        <w:rPr>
          <w:b w:val="on"/>
          <w:sz w:val="36"/>
        </w:rPr>
        <w:t>2. Key Dates and Timeline (chronological)</w:t>
      </w:r>
    </w:p>
    <w:p>
      <w:r>
        <w:t xml:space="preserve">• Date of Issue: 2025-02-13.  </w:t>
      </w:r>
    </w:p>
    <w:p>
      <w:r>
        <w:t xml:space="preserve">• Proposal submission deadline: 2025-03-31 at 14:00 Pacific Standard Time.  </w:t>
      </w:r>
    </w:p>
    <w:p>
      <w:r>
        <w:t xml:space="preserve">• Contract commencement (if awarded): 2025-06-01.  </w:t>
      </w:r>
    </w:p>
    <w:p>
      <w:r>
        <w:t xml:space="preserve">• On‑site manager resume: must be provided before Contract commencement (i.e., before 2025-06-01).  </w:t>
      </w:r>
    </w:p>
    <w:p>
      <w:r>
        <w:t xml:space="preserve">• Contract expiry (end of initial term): 2030-05-31.  </w:t>
      </w:r>
    </w:p>
    <w:p>
      <w:r>
        <w:t>• Optional renewal: the Authority may exercise one renewal term of two years (no specific dates provided in the excerpt).</w:t>
      </w:r>
    </w:p>
    <w:p>
      <w:r>
        <w:t>Timing observation: the interval between the proposal deadline (end of March 2025) and the Contract start date (June 1, 2025) is approximately two months. That window is relatively tight for award notification, establishing a local office (if not already present), staffing, training, equipment commissioning and other mobilization tasks. The RFP also specifies that a local office must be established within two months of Contract award, which compounds mobilization risk if award timing is delayed.</w:t>
      </w:r>
    </w:p>
    <w:p>
      <w:r>
        <w:t>---</w:t>
      </w:r>
    </w:p>
    <w:p>
      <w:pPr>
        <w:pStyle w:val="Heading2"/>
      </w:pPr>
      <w:r>
        <w:rPr>
          <w:b w:val="on"/>
          <w:sz w:val="36"/>
        </w:rPr>
        <w:t>3. Key Entities and Stakeholders</w:t>
      </w:r>
    </w:p>
    <w:p>
      <w:r>
        <w:t xml:space="preserve">• Victoria Airport Authority (VAA) — issuer of the RFP and the contracting authority; operator and developer of Victoria International Airport. Responsible for selecting the Proponent and administering the Contract.  </w:t>
      </w:r>
    </w:p>
    <w:p>
      <w:r>
        <w:t xml:space="preserve">• Victoria International Airport (YYJ) — the site where services will be performed; the Parking Facilities are adjacent to the Air Terminal Building.  </w:t>
      </w:r>
    </w:p>
    <w:p>
      <w:r>
        <w:t xml:space="preserve">• Proponent / Operator — the responding company or consortium; if selected, will operate and manage the Parking Facilities and be the Contract’s Operator.  </w:t>
      </w:r>
    </w:p>
    <w:p>
      <w:r>
        <w:t xml:space="preserve">• Authority’s Authorized Representative — the person designated by VAA to act as the Authority’s contact/representative for the RFP and Contract (no individual name or contact provided in the excerpt).  </w:t>
      </w:r>
    </w:p>
    <w:p>
      <w:r>
        <w:t xml:space="preserve">• W̱SÁNEĆ peoples and named First Nations (Tseycum, Tsartlip, Tsawout, Pauquachin) — traditional territory holders acknowledged by VAA; the Authority expressly seeks meaningful opportunities to partner with these Nations and encourages Proponents to identify Indigenous engagement, employment, and business opportunities.  </w:t>
      </w:r>
    </w:p>
    <w:p>
      <w:r>
        <w:t xml:space="preserve">• On‑site manager — required on appointment by the Proponent; a qualified manager’s resume must be provided prior to Contract commencement; must be local or able to work in Canada.  </w:t>
      </w:r>
    </w:p>
    <w:p>
      <w:r>
        <w:t xml:space="preserve">• Lot Attendant(s) — booth/cashiering staff and patrollers; required minimum coverage: Lot 1 booth staffed minimum 20 hours per day, seven days per week; Lot 2 booth staffed as required during peak holidays. Duties include cashiering, lot patrol, trash pickup, customer assistance, and enforcement.  </w:t>
      </w:r>
    </w:p>
    <w:p>
      <w:r>
        <w:t xml:space="preserve">• Curb Management Officer — responsible for managing shared‑use curbs on the terminal frontage and the commercial lane in the short‑term lot; required minimum coverage: 15.5 hours per day, seven days per week (hours subject to review).  </w:t>
      </w:r>
    </w:p>
    <w:p>
      <w:r>
        <w:t>• Parking operations employees generally — must be legally entitled to work in Canada, fluent in spoken and written English (French an asset), provided with Authority‑approved uniforms, paid above BC minimum wage and provided benefits.</w:t>
      </w:r>
    </w:p>
    <w:p>
      <w:r>
        <w:t>Other referenced project documents and stakeholders (no contacts provided): Schedule One through Seven (receipt confirmation, submission checklist, company profile, proposal response, financial proposal forms, proponent declaration, contact information form) and Appendices A–H (parking facilities/maps, rates, ice/snow map, equipment lists, sample reports, passenger/market data, flight schedules, draft management Contract).</w:t>
      </w:r>
    </w:p>
    <w:p>
      <w:r>
        <w:t>No direct contact names, phone numbers, or email addresses are present in the provided excerpts.</w:t>
      </w:r>
    </w:p>
    <w:p>
      <w:r>
        <w:t>---</w:t>
      </w:r>
    </w:p>
    <w:p>
      <w:pPr>
        <w:pStyle w:val="Heading2"/>
      </w:pPr>
      <w:r>
        <w:rPr>
          <w:b w:val="on"/>
          <w:sz w:val="36"/>
        </w:rPr>
        <w:t>4. Financial Information</w:t>
      </w:r>
    </w:p>
    <w:p>
      <w:r>
        <w:t>The excerpt contains policy and definitional financial information but no contract prices, fee schedules, or budgetary figures. The RFP does reference required financial submission forms (Schedule Five) and defines key financial terms.</w:t>
      </w:r>
    </w:p>
    <w:p>
      <w:r>
        <w:t>Summary table — financial items and implications</w:t>
      </w:r>
    </w:p>
    <w:p>
      <w:r>
        <w:t>| Item | Details / Implication | |---|---| | Contract value / fees | Not specified in excerpt. Proponents must complete Schedule Five (Financial Proposal Forms). | | Revenue definition | “Revenue” includes all payments collected from parking operations (cash, credit/debit cards, cheques, electronic transactions, etc.). | | Net Book Value (NBV) | Defined as original cost minus accumulated depreciation/amortization/impairment. | | Sales tax | Must be collected and accounted for to provincial/federal authorities as required. | | Employee compensation requirements | Proponent must pay employees greater than BC provincial minimum wage and provide benefits (no specific amounts given). Proponents should include wage/benefit assumptions in pricing. | | Payment / collection systems | Equipment lists and constraints referenced in Appendices (Appendix D) — proposers should plan for card and electronic transaction handling as part of Revenue. | | Selection emphasis | Award will be based on best overall value; Authority reserves rights to clarify, negotiate, waive minor non‑compliance, and cancel the RFP. Financial proposals should therefore be competitive and aligned to the Authority’s value expectations. |</w:t>
      </w:r>
    </w:p>
    <w:p>
      <w:r>
        <w:t>Implications for bidders:</w:t>
      </w:r>
    </w:p>
    <w:p>
      <w:r>
        <w:t xml:space="preserve">• Build labour costs (above minimum wage plus benefits), mobilization, local office setup, training and curbside staffing coverage into financial proposals.  </w:t>
      </w:r>
    </w:p>
    <w:p>
      <w:r>
        <w:t xml:space="preserve">• Ensure payment systems and revenue capture plans conform to Appendix D equipment lists and to the Revenue definition.  </w:t>
      </w:r>
    </w:p>
    <w:p>
      <w:r>
        <w:t>• Use Schedule Five carefully; absence of explicit price caps or guaranteed revenue streams means proposers must fully model operating costs and anticipated revenues.</w:t>
      </w:r>
    </w:p>
    <w:p>
      <w:r>
        <w:t>---</w:t>
      </w:r>
    </w:p>
    <w:p>
      <w:pPr>
        <w:pStyle w:val="Heading2"/>
      </w:pPr>
      <w:r>
        <w:rPr>
          <w:b w:val="on"/>
          <w:sz w:val="36"/>
        </w:rPr>
        <w:t>5. Operational snapshot and performance requirements</w:t>
      </w:r>
    </w:p>
    <w:p>
      <w:r>
        <w:t xml:space="preserve">• Parking inventory: total 3,243 spaces comprising two public daily lots (2,686 spaces total), a short‑term lot (166), and an employee lot (391); seasonal overflow areas also available. Lot One: 1,405 spaces; Lot Two: 1,281 spaces.  </w:t>
      </w:r>
    </w:p>
    <w:p>
      <w:r>
        <w:t xml:space="preserve">• Contract term: five years (2025-06-01 to 2030-05-31), with one optional two‑year renewal at the Authority’s discretion.  </w:t>
      </w:r>
    </w:p>
    <w:p>
      <w:r>
        <w:t xml:space="preserve">• Staffing minimums (operational baseline): Lot 1 booth staffed min 20 hours/day; Curb Management Officer min 15.5 hours/day; Lot 2 booth staffing during peak holiday periods; ability to scale staff for peak/overflow.  </w:t>
      </w:r>
    </w:p>
    <w:p>
      <w:r>
        <w:t xml:space="preserve">• Training and HR: Proponent responsible for hiring, training, discipline and dismissal; employees must be fluent in English, legally able to work in Canada, in Authority‑approved uniforms, and should be paid above BC minimum wage with benefits. Proponents should provide job descriptions and training plans.  </w:t>
      </w:r>
    </w:p>
    <w:p>
      <w:r>
        <w:t xml:space="preserve">• Snow and ice control: Proponent responsible for ice control and snow removal as depicted in Appendix C.  </w:t>
      </w:r>
    </w:p>
    <w:p>
      <w:r>
        <w:t xml:space="preserve">• Quality/performance standards: Proponent must meet standards set out in Schedule 8 (Operational Proposal) — not included in the excerpt but referenced.  </w:t>
      </w:r>
    </w:p>
    <w:p>
      <w:r>
        <w:t>• Indigenous engagement: Proposals should identify Indigenous business engagement, skills training and employment opportunities.</w:t>
      </w:r>
    </w:p>
    <w:p>
      <w:r>
        <w:t>---</w:t>
      </w:r>
    </w:p>
    <w:p>
      <w:pPr>
        <w:pStyle w:val="Heading2"/>
      </w:pPr>
      <w:r>
        <w:rPr>
          <w:b w:val="on"/>
          <w:sz w:val="36"/>
        </w:rPr>
        <w:t>6. Risks and considerations</w:t>
      </w:r>
    </w:p>
    <w:p>
      <w:r>
        <w:t xml:space="preserve">• Tight mobilization window: two months between proposal deadline and Contract start is constrained for local setup, hiring, training and systems implementation. Mitigation: propose a robust mobilization plan, identify existing local presence or partnerships, and provide contingency staffing solutions.  </w:t>
      </w:r>
    </w:p>
    <w:p>
      <w:r>
        <w:t xml:space="preserve">• Labour cost pressure: the RFP requires higher than minimum wages plus benefits; these must be priced accurately.  </w:t>
      </w:r>
    </w:p>
    <w:p>
      <w:r>
        <w:t xml:space="preserve">• Operational disruption potential: a forthcoming terminal expansion is noted and may impact parking configuration; proposals should be flexible and describe how they would adapt to changes.  </w:t>
      </w:r>
    </w:p>
    <w:p>
      <w:r>
        <w:t xml:space="preserve">• Indigenous partnership expectations: VAA explicitly encourages Indigenous engagement; proposals that integrate meaningful partnerships are advantaged.  </w:t>
      </w:r>
    </w:p>
    <w:p>
      <w:r>
        <w:t>• Equipment and systems compatibility: Appendices reference equipment lists and reporting; ensure proposed systems align and that any capital or integration costs are included in Schedule Five.</w:t>
      </w:r>
    </w:p>
    <w:p>
      <w:r>
        <w:t>---</w:t>
      </w:r>
    </w:p>
    <w:p>
      <w:pPr>
        <w:pStyle w:val="Heading2"/>
      </w:pPr>
      <w:r>
        <w:rPr>
          <w:b w:val="on"/>
          <w:sz w:val="36"/>
        </w:rPr>
        <w:t>7. Recommended next steps for a prospective Proponent</w:t>
      </w:r>
    </w:p>
    <w:p>
      <w:r>
        <w:t>1. Confirm internal capacity to meet staffing coverage and the stated timeline; identify whether a local office already exists or can be established quickly.   2. Prepare financials using Schedule Five, ensuring labour/benefit assumptions and mobilization costs are incorporated.   3. Develop a detailed mobilization plan that includes the on‑site manager resume submission before June 1, 2025, training program, and initial staffing rosters to demonstrate readiness.   4. Draft a curbside management program and service level commitments that meet the minimum coverage hours and customer service expectations.   5. Prepare an Indigenous engagement plan describing opportunities for contracting, hiring, and training.   6. Review Appendices (equipment list, snow/ice map, sample reports, draft contract) to identify capital, operational or compliance gaps and cost impacts.</w:t>
      </w:r>
    </w:p>
    <w:p>
      <w:r>
        <w:t>---</w:t>
      </w:r>
    </w:p>
    <w:p>
      <w:r>
        <w:t>End of briefing.</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2026-04-26T15:52:48Z</dcterms:created>
  <dc:creator>Apache POI</dc:creator>
</cp:coreProperties>
</file>