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Calibri" w:cs="Calibri" w:eastAsia="Calibri" w:hAnsi="Calibri"/>
          <w:sz w:val="20"/>
          <w:szCs w:val="20"/>
        </w:rPr>
        <w:t xml:space="preserve"/>
      </w:r>
    </w:p>
    <w:p>
      <w:pPr>
        <w:spacing w:after="120"/>
      </w:pPr>
      <w:r>
        <w:rPr>
          <w:rFonts w:ascii="Calibri" w:cs="Calibri" w:eastAsia="Calibri" w:hAnsi="Calibri"/>
          <w:b/>
          <w:bCs/>
          <w:color w:val="1A1A19"/>
          <w:sz w:val="56"/>
          <w:szCs w:val="56"/>
        </w:rPr>
        <w:t xml:space="preserve">Insights Worth Building</w:t>
      </w:r>
    </w:p>
    <w:p>
      <w:pPr>
        <w:pBdr>
          <w:bottom w:val="single" w:color="D8D7D0" w:sz="6" w:space="14"/>
        </w:pBdr>
        <w:spacing w:after="420"/>
      </w:pPr>
      <w:r>
        <w:rPr>
          <w:rFonts w:ascii="Calibri" w:cs="Calibri" w:eastAsia="Calibri" w:hAnsi="Calibri"/>
          <w:color w:val="52514E"/>
          <w:sz w:val="26"/>
          <w:szCs w:val="26"/>
        </w:rPr>
        <w:t xml:space="preserve">The merged catalogue — both prototypes, one list</w:t>
      </w:r>
    </w:p>
    <w:p>
      <w:pPr>
        <w:spacing w:after="60"/>
      </w:pPr>
      <w:r>
        <w:rPr>
          <w:rFonts w:ascii="Calibri" w:cs="Calibri" w:eastAsia="Calibri" w:hAnsi="Calibri"/>
          <w:color w:val="7A7871"/>
          <w:sz w:val="20"/>
          <w:szCs w:val="20"/>
        </w:rPr>
        <w:t xml:space="preserve">NanoVox · Technossus AI Studio</w:t>
      </w:r>
    </w:p>
    <w:p>
      <w:pPr>
        <w:spacing w:after="60"/>
      </w:pPr>
      <w:r>
        <w:rPr>
          <w:rFonts w:ascii="Calibri" w:cs="Calibri" w:eastAsia="Calibri" w:hAnsi="Calibri"/>
          <w:color w:val="7A7871"/>
          <w:sz w:val="20"/>
          <w:szCs w:val="20"/>
        </w:rPr>
        <w:t xml:space="preserve">Prepared by Shloka Kulkarni · 18 September 2026</w:t>
      </w:r>
    </w:p>
    <w:p>
      <w:pPr>
        <w:spacing w:after="1800"/>
      </w:pPr>
      <w:r>
        <w:rPr>
          <w:rFonts w:ascii="Calibri" w:cs="Calibri" w:eastAsia="Calibri" w:hAnsi="Calibri"/>
          <w:sz w:val="20"/>
          <w:szCs w:val="20"/>
        </w:rPr>
        <w:t xml:space="preserve"/>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i/>
          <w:iCs/>
          <w:color w:val="52514E"/>
          <w:sz w:val="19"/>
          <w:szCs w:val="19"/>
        </w:rPr>
        <w:t xml:space="preserve">Figures marked (AS) are counted from the v9 corpus by the Account Signals pipeline — 100 written calls of a planned 600. Figures marked (AP) are synthetic, from the attribution prototype's generated book of 2,192 calls. No real broker, employer, member, carrier or call is named anywhere in this document.</w:t>
      </w:r>
    </w:p>
    <w:p>
      <w:r>
        <w:br w:type="page"/>
      </w:r>
    </w:p>
    <w:p>
      <w:pPr>
        <w:spacing w:after="240"/>
      </w:pPr>
      <w:r>
        <w:rPr>
          <w:rFonts w:ascii="Calibri" w:cs="Calibri" w:eastAsia="Calibri" w:hAnsi="Calibri"/>
          <w:b/>
          <w:bCs/>
          <w:color w:val="1A1A19"/>
          <w:sz w:val="32"/>
          <w:szCs w:val="32"/>
        </w:rPr>
        <w:t xml:space="preserve">Contents</w:t>
      </w:r>
    </w:p>
    <w:p>
      <w:pPr>
        <w:tabs>
          <w:tab w:val="right" w:pos="9360" w:leader="dot"/>
        </w:tabs>
        <w:spacing w:after="130" w:before="0"/>
      </w:pPr>
      <w:r>
        <w:rPr>
          <w:rFonts w:ascii="Calibri" w:cs="Calibri" w:eastAsia="Calibri" w:hAnsi="Calibri"/>
          <w:b/>
          <w:bCs/>
          <w:color w:val="1A1A19"/>
          <w:sz w:val="21"/>
          <w:szCs w:val="21"/>
        </w:rPr>
        <w:t xml:space="preserve">Why this document</w:t>
      </w:r>
      <w:r>
        <w:rPr>
          <w:rFonts w:ascii="Calibri" w:cs="Calibri" w:eastAsia="Calibri" w:hAnsi="Calibri"/>
          <w:color w:val="7A7871"/>
          <w:sz w:val="20"/>
          <w:szCs w:val="20"/>
        </w:rPr>
        <w:t xml:space="preserve">	</w:t>
      </w:r>
      <w:r>
        <w:rPr>
          <w:rFonts w:ascii="Calibri" w:cs="Calibri" w:eastAsia="Calibri" w:hAnsi="Calibri"/>
          <w:b/>
          <w:bCs/>
          <w:color w:val="1A1A19"/>
          <w:sz w:val="21"/>
          <w:szCs w:val="21"/>
        </w:rPr>
        <w:t xml:space="preserve">4</w:t>
      </w:r>
    </w:p>
    <w:p>
      <w:pPr>
        <w:tabs>
          <w:tab w:val="right" w:pos="9360" w:leader="dot"/>
        </w:tabs>
        <w:spacing w:after="130" w:before="0"/>
      </w:pPr>
      <w:r>
        <w:rPr>
          <w:rFonts w:ascii="Calibri" w:cs="Calibri" w:eastAsia="Calibri" w:hAnsi="Calibri"/>
          <w:b/>
          <w:bCs/>
          <w:color w:val="1A1A19"/>
          <w:sz w:val="21"/>
          <w:szCs w:val="21"/>
        </w:rPr>
        <w:t xml:space="preserve">The idea in one call</w:t>
      </w:r>
      <w:r>
        <w:rPr>
          <w:rFonts w:ascii="Calibri" w:cs="Calibri" w:eastAsia="Calibri" w:hAnsi="Calibri"/>
          <w:color w:val="7A7871"/>
          <w:sz w:val="20"/>
          <w:szCs w:val="20"/>
        </w:rPr>
        <w:t xml:space="preserve">	</w:t>
      </w:r>
      <w:r>
        <w:rPr>
          <w:rFonts w:ascii="Calibri" w:cs="Calibri" w:eastAsia="Calibri" w:hAnsi="Calibri"/>
          <w:b/>
          <w:bCs/>
          <w:color w:val="1A1A19"/>
          <w:sz w:val="21"/>
          <w:szCs w:val="21"/>
        </w:rPr>
        <w:t xml:space="preserve">4</w:t>
      </w:r>
    </w:p>
    <w:p>
      <w:pPr>
        <w:tabs>
          <w:tab w:val="right" w:pos="9360" w:leader="dot"/>
        </w:tabs>
        <w:spacing w:after="130" w:before="0"/>
      </w:pPr>
      <w:r>
        <w:rPr>
          <w:rFonts w:ascii="Calibri" w:cs="Calibri" w:eastAsia="Calibri" w:hAnsi="Calibri"/>
          <w:b/>
          <w:bCs/>
          <w:color w:val="1A1A19"/>
          <w:sz w:val="21"/>
          <w:szCs w:val="21"/>
        </w:rPr>
        <w:t xml:space="preserve">How to read the catalogue</w:t>
      </w:r>
      <w:r>
        <w:rPr>
          <w:rFonts w:ascii="Calibri" w:cs="Calibri" w:eastAsia="Calibri" w:hAnsi="Calibri"/>
          <w:color w:val="7A7871"/>
          <w:sz w:val="20"/>
          <w:szCs w:val="20"/>
        </w:rPr>
        <w:t xml:space="preserve">	</w:t>
      </w:r>
      <w:r>
        <w:rPr>
          <w:rFonts w:ascii="Calibri" w:cs="Calibri" w:eastAsia="Calibri" w:hAnsi="Calibri"/>
          <w:b/>
          <w:bCs/>
          <w:color w:val="1A1A19"/>
          <w:sz w:val="21"/>
          <w:szCs w:val="21"/>
        </w:rPr>
        <w:t xml:space="preserve">4</w:t>
      </w:r>
    </w:p>
    <w:p>
      <w:pPr>
        <w:tabs>
          <w:tab w:val="right" w:pos="9360" w:leader="dot"/>
        </w:tabs>
        <w:spacing w:after="130" w:before="0"/>
      </w:pPr>
      <w:r>
        <w:rPr>
          <w:rFonts w:ascii="Calibri" w:cs="Calibri" w:eastAsia="Calibri" w:hAnsi="Calibri"/>
          <w:b/>
          <w:bCs/>
          <w:color w:val="1A1A19"/>
          <w:sz w:val="21"/>
          <w:szCs w:val="21"/>
        </w:rPr>
        <w:t xml:space="preserve">One thing to settle first</w:t>
      </w:r>
      <w:r>
        <w:rPr>
          <w:rFonts w:ascii="Calibri" w:cs="Calibri" w:eastAsia="Calibri" w:hAnsi="Calibri"/>
          <w:color w:val="7A7871"/>
          <w:sz w:val="20"/>
          <w:szCs w:val="20"/>
        </w:rPr>
        <w:t xml:space="preserve">	</w:t>
      </w:r>
      <w:r>
        <w:rPr>
          <w:rFonts w:ascii="Calibri" w:cs="Calibri" w:eastAsia="Calibri" w:hAnsi="Calibri"/>
          <w:b/>
          <w:bCs/>
          <w:color w:val="1A1A19"/>
          <w:sz w:val="21"/>
          <w:szCs w:val="21"/>
        </w:rPr>
        <w:t xml:space="preserve">5</w:t>
      </w:r>
    </w:p>
    <w:p>
      <w:pPr>
        <w:tabs>
          <w:tab w:val="right" w:pos="9360" w:leader="dot"/>
        </w:tabs>
        <w:spacing w:after="30" w:before="140"/>
      </w:pPr>
      <w:r>
        <w:rPr>
          <w:rFonts w:ascii="Calibri" w:cs="Calibri" w:eastAsia="Calibri" w:hAnsi="Calibri"/>
          <w:b/>
          <w:bCs/>
          <w:color w:val="1A1A19"/>
          <w:sz w:val="21"/>
          <w:szCs w:val="21"/>
        </w:rPr>
        <w:t xml:space="preserve">Screen 1 · Account risk</w:t>
      </w:r>
      <w:r>
        <w:rPr>
          <w:rFonts w:ascii="Calibri" w:cs="Calibri" w:eastAsia="Calibri" w:hAnsi="Calibri"/>
          <w:color w:val="7A7871"/>
          <w:sz w:val="20"/>
          <w:szCs w:val="20"/>
        </w:rPr>
        <w:t xml:space="preserve">	</w:t>
      </w:r>
      <w:r>
        <w:rPr>
          <w:rFonts w:ascii="Calibri" w:cs="Calibri" w:eastAsia="Calibri" w:hAnsi="Calibri"/>
          <w:b/>
          <w:bCs/>
          <w:color w:val="1A1A19"/>
          <w:sz w:val="21"/>
          <w:szCs w:val="21"/>
        </w:rPr>
        <w:t xml:space="preserve">6</w:t>
      </w:r>
    </w:p>
    <w:p>
      <w:pPr>
        <w:tabs>
          <w:tab w:val="right" w:pos="9360" w:leader="dot"/>
        </w:tabs>
        <w:spacing w:after="30" w:before="0"/>
        <w:ind w:left="403"/>
      </w:pPr>
      <w:r>
        <w:rPr>
          <w:rFonts w:ascii="Calibri" w:cs="Calibri" w:eastAsia="Calibri" w:hAnsi="Calibri"/>
          <w:b w:val="false"/>
          <w:bCs w:val="false"/>
          <w:color w:val="52514E"/>
          <w:sz w:val="20"/>
          <w:szCs w:val="20"/>
        </w:rPr>
        <w:t xml:space="preserve">1.  Group renewal risk band</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6</w:t>
      </w:r>
    </w:p>
    <w:p>
      <w:pPr>
        <w:tabs>
          <w:tab w:val="right" w:pos="9360" w:leader="dot"/>
        </w:tabs>
        <w:spacing w:after="30" w:before="0"/>
        <w:ind w:left="403"/>
      </w:pPr>
      <w:r>
        <w:rPr>
          <w:rFonts w:ascii="Calibri" w:cs="Calibri" w:eastAsia="Calibri" w:hAnsi="Calibri"/>
          <w:b w:val="false"/>
          <w:bCs w:val="false"/>
          <w:color w:val="52514E"/>
          <w:sz w:val="20"/>
          <w:szCs w:val="20"/>
        </w:rPr>
        <w:t xml:space="preserve">2.  Size-matched contact rate</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7</w:t>
      </w:r>
    </w:p>
    <w:p>
      <w:pPr>
        <w:tabs>
          <w:tab w:val="right" w:pos="9360" w:leader="dot"/>
        </w:tabs>
        <w:spacing w:after="30" w:before="0"/>
        <w:ind w:left="403"/>
      </w:pPr>
      <w:r>
        <w:rPr>
          <w:rFonts w:ascii="Calibri" w:cs="Calibri" w:eastAsia="Calibri" w:hAnsi="Calibri"/>
          <w:b w:val="false"/>
          <w:bCs w:val="false"/>
          <w:color w:val="52514E"/>
          <w:sz w:val="20"/>
          <w:szCs w:val="20"/>
        </w:rPr>
        <w:t xml:space="preserve">3.  Authority-weighted exit language</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7</w:t>
      </w:r>
    </w:p>
    <w:p>
      <w:pPr>
        <w:tabs>
          <w:tab w:val="right" w:pos="9360" w:leader="dot"/>
        </w:tabs>
        <w:spacing w:after="30" w:before="0"/>
        <w:ind w:left="403"/>
      </w:pPr>
      <w:r>
        <w:rPr>
          <w:rFonts w:ascii="Calibri" w:cs="Calibri" w:eastAsia="Calibri" w:hAnsi="Calibri"/>
          <w:b w:val="false"/>
          <w:bCs w:val="false"/>
          <w:color w:val="52514E"/>
          <w:sz w:val="20"/>
          <w:szCs w:val="20"/>
        </w:rPr>
        <w:t xml:space="preserve">4.  Failure-driven repeat contact</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7</w:t>
      </w:r>
    </w:p>
    <w:p>
      <w:pPr>
        <w:tabs>
          <w:tab w:val="right" w:pos="9360" w:leader="dot"/>
        </w:tabs>
        <w:spacing w:after="30" w:before="0"/>
        <w:ind w:left="403"/>
      </w:pPr>
      <w:r>
        <w:rPr>
          <w:rFonts w:ascii="Calibri" w:cs="Calibri" w:eastAsia="Calibri" w:hAnsi="Calibri"/>
          <w:b w:val="false"/>
          <w:bCs w:val="false"/>
          <w:color w:val="52514E"/>
          <w:sz w:val="20"/>
          <w:szCs w:val="20"/>
        </w:rPr>
        <w:t xml:space="preserve">5.  Escalation integrity</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8</w:t>
      </w:r>
    </w:p>
    <w:p>
      <w:pPr>
        <w:tabs>
          <w:tab w:val="right" w:pos="9360" w:leader="dot"/>
        </w:tabs>
        <w:spacing w:after="30" w:before="0"/>
        <w:ind w:left="403"/>
      </w:pPr>
      <w:r>
        <w:rPr>
          <w:rFonts w:ascii="Calibri" w:cs="Calibri" w:eastAsia="Calibri" w:hAnsi="Calibri"/>
          <w:b w:val="false"/>
          <w:bCs w:val="false"/>
          <w:color w:val="52514E"/>
          <w:sz w:val="20"/>
          <w:szCs w:val="20"/>
        </w:rPr>
        <w:t xml:space="preserve">6.  Employer-caused member confusion</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27</w:t>
      </w:r>
    </w:p>
    <w:p>
      <w:pPr>
        <w:tabs>
          <w:tab w:val="right" w:pos="9360" w:leader="dot"/>
        </w:tabs>
        <w:spacing w:after="30" w:before="0"/>
        <w:ind w:left="403"/>
      </w:pPr>
      <w:r>
        <w:rPr>
          <w:rFonts w:ascii="Calibri" w:cs="Calibri" w:eastAsia="Calibri" w:hAnsi="Calibri"/>
          <w:b w:val="false"/>
          <w:bCs w:val="false"/>
          <w:color w:val="52514E"/>
          <w:sz w:val="20"/>
          <w:szCs w:val="20"/>
        </w:rPr>
        <w:t xml:space="preserve">7.  Broker-of-record drift</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9</w:t>
      </w:r>
    </w:p>
    <w:p>
      <w:pPr>
        <w:tabs>
          <w:tab w:val="right" w:pos="9360" w:leader="dot"/>
        </w:tabs>
        <w:spacing w:after="30" w:before="0"/>
        <w:ind w:left="403"/>
      </w:pPr>
      <w:r>
        <w:rPr>
          <w:rFonts w:ascii="Calibri" w:cs="Calibri" w:eastAsia="Calibri" w:hAnsi="Calibri"/>
          <w:b w:val="false"/>
          <w:bCs w:val="false"/>
          <w:color w:val="52514E"/>
          <w:sz w:val="20"/>
          <w:szCs w:val="20"/>
        </w:rPr>
        <w:t xml:space="preserve">8.  Account facts that raise the stakes</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9</w:t>
      </w:r>
    </w:p>
    <w:p>
      <w:pPr>
        <w:tabs>
          <w:tab w:val="right" w:pos="9360" w:leader="dot"/>
        </w:tabs>
        <w:spacing w:after="30" w:before="0"/>
        <w:ind w:left="403"/>
      </w:pPr>
      <w:r>
        <w:rPr>
          <w:rFonts w:ascii="Calibri" w:cs="Calibri" w:eastAsia="Calibri" w:hAnsi="Calibri"/>
          <w:b w:val="false"/>
          <w:bCs w:val="false"/>
          <w:color w:val="52514E"/>
          <w:sz w:val="20"/>
          <w:szCs w:val="20"/>
        </w:rPr>
        <w:t xml:space="preserve">9.  Band calibration against renewal outcomes</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10</w:t>
      </w:r>
    </w:p>
    <w:p>
      <w:pPr>
        <w:tabs>
          <w:tab w:val="right" w:pos="9360" w:leader="dot"/>
        </w:tabs>
        <w:spacing w:after="30" w:before="140"/>
      </w:pPr>
      <w:r>
        <w:rPr>
          <w:rFonts w:ascii="Calibri" w:cs="Calibri" w:eastAsia="Calibri" w:hAnsi="Calibri"/>
          <w:b/>
          <w:bCs/>
          <w:color w:val="1A1A19"/>
          <w:sz w:val="21"/>
          <w:szCs w:val="21"/>
        </w:rPr>
        <w:t xml:space="preserve">Screen 2 · Broker and channel</w:t>
      </w:r>
      <w:r>
        <w:rPr>
          <w:rFonts w:ascii="Calibri" w:cs="Calibri" w:eastAsia="Calibri" w:hAnsi="Calibri"/>
          <w:color w:val="7A7871"/>
          <w:sz w:val="20"/>
          <w:szCs w:val="20"/>
        </w:rPr>
        <w:t xml:space="preserve">	</w:t>
      </w:r>
      <w:r>
        <w:rPr>
          <w:rFonts w:ascii="Calibri" w:cs="Calibri" w:eastAsia="Calibri" w:hAnsi="Calibri"/>
          <w:b/>
          <w:bCs/>
          <w:color w:val="1A1A19"/>
          <w:sz w:val="21"/>
          <w:szCs w:val="21"/>
        </w:rPr>
        <w:t xml:space="preserve">11</w:t>
      </w:r>
    </w:p>
    <w:p>
      <w:pPr>
        <w:tabs>
          <w:tab w:val="right" w:pos="9360" w:leader="dot"/>
        </w:tabs>
        <w:spacing w:after="30" w:before="0"/>
        <w:ind w:left="403"/>
      </w:pPr>
      <w:r>
        <w:rPr>
          <w:rFonts w:ascii="Calibri" w:cs="Calibri" w:eastAsia="Calibri" w:hAnsi="Calibri"/>
          <w:b w:val="false"/>
          <w:bCs w:val="false"/>
          <w:color w:val="52514E"/>
          <w:sz w:val="20"/>
          <w:szCs w:val="20"/>
        </w:rPr>
        <w:t xml:space="preserve">10.  Broker book friction, split by cause</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11</w:t>
      </w:r>
    </w:p>
    <w:p>
      <w:pPr>
        <w:tabs>
          <w:tab w:val="right" w:pos="9360" w:leader="dot"/>
        </w:tabs>
        <w:spacing w:after="30" w:before="0"/>
        <w:ind w:left="403"/>
      </w:pPr>
      <w:r>
        <w:rPr>
          <w:rFonts w:ascii="Calibri" w:cs="Calibri" w:eastAsia="Calibri" w:hAnsi="Calibri"/>
          <w:b w:val="false"/>
          <w:bCs w:val="false"/>
          <w:color w:val="52514E"/>
          <w:sz w:val="20"/>
          <w:szCs w:val="20"/>
        </w:rPr>
        <w:t xml:space="preserve">11.  Enrolment promise gap</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11</w:t>
      </w:r>
    </w:p>
    <w:p>
      <w:pPr>
        <w:tabs>
          <w:tab w:val="right" w:pos="9360" w:leader="dot"/>
        </w:tabs>
        <w:spacing w:after="30" w:before="0"/>
        <w:ind w:left="403"/>
      </w:pPr>
      <w:r>
        <w:rPr>
          <w:rFonts w:ascii="Calibri" w:cs="Calibri" w:eastAsia="Calibri" w:hAnsi="Calibri"/>
          <w:b w:val="false"/>
          <w:bCs w:val="false"/>
          <w:color w:val="52514E"/>
          <w:sz w:val="20"/>
          <w:szCs w:val="20"/>
        </w:rPr>
        <w:t xml:space="preserve">12.  Quiet-book warning</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12</w:t>
      </w:r>
    </w:p>
    <w:p>
      <w:pPr>
        <w:tabs>
          <w:tab w:val="right" w:pos="9360" w:leader="dot"/>
        </w:tabs>
        <w:spacing w:after="30" w:before="0"/>
        <w:ind w:left="403"/>
      </w:pPr>
      <w:r>
        <w:rPr>
          <w:rFonts w:ascii="Calibri" w:cs="Calibri" w:eastAsia="Calibri" w:hAnsi="Calibri"/>
          <w:b w:val="false"/>
          <w:bCs w:val="false"/>
          <w:color w:val="52514E"/>
          <w:sz w:val="20"/>
          <w:szCs w:val="20"/>
        </w:rPr>
        <w:t xml:space="preserve">13.  Isolated or systemic</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12</w:t>
      </w:r>
    </w:p>
    <w:p>
      <w:pPr>
        <w:tabs>
          <w:tab w:val="right" w:pos="9360" w:leader="dot"/>
        </w:tabs>
        <w:spacing w:after="30" w:before="0"/>
        <w:ind w:left="403"/>
      </w:pPr>
      <w:r>
        <w:rPr>
          <w:rFonts w:ascii="Calibri" w:cs="Calibri" w:eastAsia="Calibri" w:hAnsi="Calibri"/>
          <w:b w:val="false"/>
          <w:bCs w:val="false"/>
          <w:color w:val="52514E"/>
          <w:sz w:val="20"/>
          <w:szCs w:val="20"/>
        </w:rPr>
        <w:t xml:space="preserve">14.  Lives at risk by book</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13</w:t>
      </w:r>
    </w:p>
    <w:p>
      <w:pPr>
        <w:tabs>
          <w:tab w:val="right" w:pos="9360" w:leader="dot"/>
        </w:tabs>
        <w:spacing w:after="30" w:before="140"/>
      </w:pPr>
      <w:r>
        <w:rPr>
          <w:rFonts w:ascii="Calibri" w:cs="Calibri" w:eastAsia="Calibri" w:hAnsi="Calibri"/>
          <w:b/>
          <w:bCs/>
          <w:color w:val="1A1A19"/>
          <w:sz w:val="21"/>
          <w:szCs w:val="21"/>
        </w:rPr>
        <w:t xml:space="preserve">Screen 3 · Where calls come from</w:t>
      </w:r>
      <w:r>
        <w:rPr>
          <w:rFonts w:ascii="Calibri" w:cs="Calibri" w:eastAsia="Calibri" w:hAnsi="Calibri"/>
          <w:color w:val="7A7871"/>
          <w:sz w:val="20"/>
          <w:szCs w:val="20"/>
        </w:rPr>
        <w:t xml:space="preserve">	</w:t>
      </w:r>
      <w:r>
        <w:rPr>
          <w:rFonts w:ascii="Calibri" w:cs="Calibri" w:eastAsia="Calibri" w:hAnsi="Calibri"/>
          <w:b/>
          <w:bCs/>
          <w:color w:val="1A1A19"/>
          <w:sz w:val="21"/>
          <w:szCs w:val="21"/>
        </w:rPr>
        <w:t xml:space="preserve">14</w:t>
      </w:r>
    </w:p>
    <w:p>
      <w:pPr>
        <w:tabs>
          <w:tab w:val="right" w:pos="9360" w:leader="dot"/>
        </w:tabs>
        <w:spacing w:after="30" w:before="0"/>
        <w:ind w:left="403"/>
      </w:pPr>
      <w:r>
        <w:rPr>
          <w:rFonts w:ascii="Calibri" w:cs="Calibri" w:eastAsia="Calibri" w:hAnsi="Calibri"/>
          <w:b w:val="false"/>
          <w:bCs w:val="false"/>
          <w:color w:val="52514E"/>
          <w:sz w:val="20"/>
          <w:szCs w:val="20"/>
        </w:rPr>
        <w:t xml:space="preserve">15.  Self-inflicted demand, costed</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14</w:t>
      </w:r>
    </w:p>
    <w:p>
      <w:pPr>
        <w:tabs>
          <w:tab w:val="right" w:pos="9360" w:leader="dot"/>
        </w:tabs>
        <w:spacing w:after="30" w:before="0"/>
        <w:ind w:left="403"/>
      </w:pPr>
      <w:r>
        <w:rPr>
          <w:rFonts w:ascii="Calibri" w:cs="Calibri" w:eastAsia="Calibri" w:hAnsi="Calibri"/>
          <w:b w:val="false"/>
          <w:bCs w:val="false"/>
          <w:color w:val="52514E"/>
          <w:sz w:val="20"/>
          <w:szCs w:val="20"/>
        </w:rPr>
        <w:t xml:space="preserve">16.  Touchpoint defect ranking</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14</w:t>
      </w:r>
    </w:p>
    <w:p>
      <w:pPr>
        <w:tabs>
          <w:tab w:val="right" w:pos="9360" w:leader="dot"/>
        </w:tabs>
        <w:spacing w:after="30" w:before="0"/>
        <w:ind w:left="403"/>
      </w:pPr>
      <w:r>
        <w:rPr>
          <w:rFonts w:ascii="Calibri" w:cs="Calibri" w:eastAsia="Calibri" w:hAnsi="Calibri"/>
          <w:b w:val="false"/>
          <w:bCs w:val="false"/>
          <w:color w:val="52514E"/>
          <w:sz w:val="20"/>
          <w:szCs w:val="20"/>
        </w:rPr>
        <w:t xml:space="preserve">17.  Proximate cause against root cause</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15</w:t>
      </w:r>
    </w:p>
    <w:p>
      <w:pPr>
        <w:tabs>
          <w:tab w:val="right" w:pos="9360" w:leader="dot"/>
        </w:tabs>
        <w:spacing w:after="30" w:before="0"/>
        <w:ind w:left="403"/>
      </w:pPr>
      <w:r>
        <w:rPr>
          <w:rFonts w:ascii="Calibri" w:cs="Calibri" w:eastAsia="Calibri" w:hAnsi="Calibri"/>
          <w:b w:val="false"/>
          <w:bCs w:val="false"/>
          <w:color w:val="52514E"/>
          <w:sz w:val="20"/>
          <w:szCs w:val="20"/>
        </w:rPr>
        <w:t xml:space="preserve">18.  The unattributed bucket</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15</w:t>
      </w:r>
    </w:p>
    <w:p>
      <w:pPr>
        <w:tabs>
          <w:tab w:val="right" w:pos="9360" w:leader="dot"/>
        </w:tabs>
        <w:spacing w:after="30" w:before="0"/>
        <w:ind w:left="403"/>
      </w:pPr>
      <w:r>
        <w:rPr>
          <w:rFonts w:ascii="Calibri" w:cs="Calibri" w:eastAsia="Calibri" w:hAnsi="Calibri"/>
          <w:b w:val="false"/>
          <w:bCs w:val="false"/>
          <w:color w:val="52514E"/>
          <w:sz w:val="20"/>
          <w:szCs w:val="20"/>
        </w:rPr>
        <w:t xml:space="preserve">19.  Compliance exception exposure</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16</w:t>
      </w:r>
    </w:p>
    <w:p>
      <w:pPr>
        <w:tabs>
          <w:tab w:val="right" w:pos="9360" w:leader="dot"/>
        </w:tabs>
        <w:spacing w:after="30" w:before="140"/>
      </w:pPr>
      <w:r>
        <w:rPr>
          <w:rFonts w:ascii="Calibri" w:cs="Calibri" w:eastAsia="Calibri" w:hAnsi="Calibri"/>
          <w:b/>
          <w:bCs/>
          <w:color w:val="1A1A19"/>
          <w:sz w:val="21"/>
          <w:szCs w:val="21"/>
        </w:rPr>
        <w:t xml:space="preserve">Screen 4 · Action centre</w:t>
      </w:r>
      <w:r>
        <w:rPr>
          <w:rFonts w:ascii="Calibri" w:cs="Calibri" w:eastAsia="Calibri" w:hAnsi="Calibri"/>
          <w:color w:val="7A7871"/>
          <w:sz w:val="20"/>
          <w:szCs w:val="20"/>
        </w:rPr>
        <w:t xml:space="preserve">	</w:t>
      </w:r>
      <w:r>
        <w:rPr>
          <w:rFonts w:ascii="Calibri" w:cs="Calibri" w:eastAsia="Calibri" w:hAnsi="Calibri"/>
          <w:b/>
          <w:bCs/>
          <w:color w:val="1A1A19"/>
          <w:sz w:val="21"/>
          <w:szCs w:val="21"/>
        </w:rPr>
        <w:t xml:space="preserve">17</w:t>
      </w:r>
    </w:p>
    <w:p>
      <w:pPr>
        <w:tabs>
          <w:tab w:val="right" w:pos="9360" w:leader="dot"/>
        </w:tabs>
        <w:spacing w:after="30" w:before="0"/>
        <w:ind w:left="403"/>
      </w:pPr>
      <w:r>
        <w:rPr>
          <w:rFonts w:ascii="Calibri" w:cs="Calibri" w:eastAsia="Calibri" w:hAnsi="Calibri"/>
          <w:b w:val="false"/>
          <w:bCs w:val="false"/>
          <w:color w:val="52514E"/>
          <w:sz w:val="20"/>
          <w:szCs w:val="20"/>
        </w:rPr>
        <w:t xml:space="preserve">20.  The action centre</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17</w:t>
      </w:r>
    </w:p>
    <w:p>
      <w:pPr>
        <w:tabs>
          <w:tab w:val="right" w:pos="9360" w:leader="dot"/>
        </w:tabs>
        <w:spacing w:after="30" w:before="0"/>
        <w:ind w:left="403"/>
      </w:pPr>
      <w:r>
        <w:rPr>
          <w:rFonts w:ascii="Calibri" w:cs="Calibri" w:eastAsia="Calibri" w:hAnsi="Calibri"/>
          <w:b w:val="false"/>
          <w:bCs w:val="false"/>
          <w:color w:val="52514E"/>
          <w:sz w:val="20"/>
          <w:szCs w:val="20"/>
        </w:rPr>
        <w:t xml:space="preserve">21.  Where the work came from</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17</w:t>
      </w:r>
    </w:p>
    <w:p>
      <w:pPr>
        <w:tabs>
          <w:tab w:val="right" w:pos="9360" w:leader="dot"/>
        </w:tabs>
        <w:spacing w:after="30" w:before="0"/>
        <w:ind w:left="403"/>
      </w:pPr>
      <w:r>
        <w:rPr>
          <w:rFonts w:ascii="Calibri" w:cs="Calibri" w:eastAsia="Calibri" w:hAnsi="Calibri"/>
          <w:b w:val="false"/>
          <w:bCs w:val="false"/>
          <w:color w:val="52514E"/>
          <w:sz w:val="20"/>
          <w:szCs w:val="20"/>
        </w:rPr>
        <w:t xml:space="preserve">22.  Did-it-work measurement</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18</w:t>
      </w:r>
    </w:p>
    <w:p>
      <w:pPr>
        <w:tabs>
          <w:tab w:val="right" w:pos="9360" w:leader="dot"/>
        </w:tabs>
        <w:spacing w:after="30" w:before="140"/>
      </w:pPr>
      <w:r>
        <w:rPr>
          <w:rFonts w:ascii="Calibri" w:cs="Calibri" w:eastAsia="Calibri" w:hAnsi="Calibri"/>
          <w:b/>
          <w:bCs/>
          <w:color w:val="1A1A19"/>
          <w:sz w:val="21"/>
          <w:szCs w:val="21"/>
        </w:rPr>
        <w:t xml:space="preserve">Screen 5 · Rules, carriers and product</w:t>
      </w:r>
      <w:r>
        <w:rPr>
          <w:rFonts w:ascii="Calibri" w:cs="Calibri" w:eastAsia="Calibri" w:hAnsi="Calibri"/>
          <w:color w:val="7A7871"/>
          <w:sz w:val="20"/>
          <w:szCs w:val="20"/>
        </w:rPr>
        <w:t xml:space="preserve">	</w:t>
      </w:r>
      <w:r>
        <w:rPr>
          <w:rFonts w:ascii="Calibri" w:cs="Calibri" w:eastAsia="Calibri" w:hAnsi="Calibri"/>
          <w:b/>
          <w:bCs/>
          <w:color w:val="1A1A19"/>
          <w:sz w:val="21"/>
          <w:szCs w:val="21"/>
        </w:rPr>
        <w:t xml:space="preserve">19</w:t>
      </w:r>
    </w:p>
    <w:p>
      <w:pPr>
        <w:tabs>
          <w:tab w:val="right" w:pos="9360" w:leader="dot"/>
        </w:tabs>
        <w:spacing w:after="30" w:before="0"/>
        <w:ind w:left="403"/>
      </w:pPr>
      <w:r>
        <w:rPr>
          <w:rFonts w:ascii="Calibri" w:cs="Calibri" w:eastAsia="Calibri" w:hAnsi="Calibri"/>
          <w:b w:val="false"/>
          <w:bCs w:val="false"/>
          <w:color w:val="52514E"/>
          <w:sz w:val="20"/>
          <w:szCs w:val="20"/>
        </w:rPr>
        <w:t xml:space="preserve">23.  Rules we state incorrectly</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19</w:t>
      </w:r>
    </w:p>
    <w:p>
      <w:pPr>
        <w:tabs>
          <w:tab w:val="right" w:pos="9360" w:leader="dot"/>
        </w:tabs>
        <w:spacing w:after="30" w:before="0"/>
        <w:ind w:left="403"/>
      </w:pPr>
      <w:r>
        <w:rPr>
          <w:rFonts w:ascii="Calibri" w:cs="Calibri" w:eastAsia="Calibri" w:hAnsi="Calibri"/>
          <w:b w:val="false"/>
          <w:bCs w:val="false"/>
          <w:color w:val="52514E"/>
          <w:sz w:val="20"/>
          <w:szCs w:val="20"/>
        </w:rPr>
        <w:t xml:space="preserve">24.  Rule provenance and confidence</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19</w:t>
      </w:r>
    </w:p>
    <w:p>
      <w:pPr>
        <w:tabs>
          <w:tab w:val="right" w:pos="9360" w:leader="dot"/>
        </w:tabs>
        <w:spacing w:after="30" w:before="0"/>
        <w:ind w:left="403"/>
      </w:pPr>
      <w:r>
        <w:rPr>
          <w:rFonts w:ascii="Calibri" w:cs="Calibri" w:eastAsia="Calibri" w:hAnsi="Calibri"/>
          <w:b w:val="false"/>
          <w:bCs w:val="false"/>
          <w:color w:val="52514E"/>
          <w:sz w:val="20"/>
          <w:szCs w:val="20"/>
        </w:rPr>
        <w:t xml:space="preserve">25.  Plan-design confusion index</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20</w:t>
      </w:r>
    </w:p>
    <w:p>
      <w:pPr>
        <w:tabs>
          <w:tab w:val="right" w:pos="9360" w:leader="dot"/>
        </w:tabs>
        <w:spacing w:after="30" w:before="0"/>
        <w:ind w:left="403"/>
      </w:pPr>
      <w:r>
        <w:rPr>
          <w:rFonts w:ascii="Calibri" w:cs="Calibri" w:eastAsia="Calibri" w:hAnsi="Calibri"/>
          <w:b w:val="false"/>
          <w:bCs w:val="false"/>
          <w:color w:val="52514E"/>
          <w:sz w:val="20"/>
          <w:szCs w:val="20"/>
        </w:rPr>
        <w:t xml:space="preserve">26.  Carrier service scorecard</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20</w:t>
      </w:r>
    </w:p>
    <w:p>
      <w:pPr>
        <w:tabs>
          <w:tab w:val="right" w:pos="9360" w:leader="dot"/>
        </w:tabs>
        <w:spacing w:after="30" w:before="0"/>
        <w:ind w:left="403"/>
      </w:pPr>
      <w:r>
        <w:rPr>
          <w:rFonts w:ascii="Calibri" w:cs="Calibri" w:eastAsia="Calibri" w:hAnsi="Calibri"/>
          <w:b w:val="false"/>
          <w:bCs w:val="false"/>
          <w:color w:val="52514E"/>
          <w:sz w:val="20"/>
          <w:szCs w:val="20"/>
        </w:rPr>
        <w:t xml:space="preserve">27.  Network adequacy clusters</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21</w:t>
      </w:r>
    </w:p>
    <w:p>
      <w:pPr>
        <w:tabs>
          <w:tab w:val="right" w:pos="9360" w:leader="dot"/>
        </w:tabs>
        <w:spacing w:after="30" w:before="140"/>
      </w:pPr>
      <w:r>
        <w:rPr>
          <w:rFonts w:ascii="Calibri" w:cs="Calibri" w:eastAsia="Calibri" w:hAnsi="Calibri"/>
          <w:b/>
          <w:bCs/>
          <w:color w:val="1A1A19"/>
          <w:sz w:val="21"/>
          <w:szCs w:val="21"/>
        </w:rPr>
        <w:t xml:space="preserve">Screen 6 · Agent and handling</w:t>
      </w:r>
      <w:r>
        <w:rPr>
          <w:rFonts w:ascii="Calibri" w:cs="Calibri" w:eastAsia="Calibri" w:hAnsi="Calibri"/>
          <w:color w:val="7A7871"/>
          <w:sz w:val="20"/>
          <w:szCs w:val="20"/>
        </w:rPr>
        <w:t xml:space="preserve">	</w:t>
      </w:r>
      <w:r>
        <w:rPr>
          <w:rFonts w:ascii="Calibri" w:cs="Calibri" w:eastAsia="Calibri" w:hAnsi="Calibri"/>
          <w:b/>
          <w:bCs/>
          <w:color w:val="1A1A19"/>
          <w:sz w:val="21"/>
          <w:szCs w:val="21"/>
        </w:rPr>
        <w:t xml:space="preserve">22</w:t>
      </w:r>
    </w:p>
    <w:p>
      <w:pPr>
        <w:tabs>
          <w:tab w:val="right" w:pos="9360" w:leader="dot"/>
        </w:tabs>
        <w:spacing w:after="30" w:before="0"/>
        <w:ind w:left="403"/>
      </w:pPr>
      <w:r>
        <w:rPr>
          <w:rFonts w:ascii="Calibri" w:cs="Calibri" w:eastAsia="Calibri" w:hAnsi="Calibri"/>
          <w:b w:val="false"/>
          <w:bCs w:val="false"/>
          <w:color w:val="52514E"/>
          <w:sz w:val="20"/>
          <w:szCs w:val="20"/>
        </w:rPr>
        <w:t xml:space="preserve">28.  Agent quality against expected band</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22</w:t>
      </w:r>
    </w:p>
    <w:p>
      <w:pPr>
        <w:tabs>
          <w:tab w:val="right" w:pos="9360" w:leader="dot"/>
        </w:tabs>
        <w:spacing w:after="30" w:before="0"/>
        <w:ind w:left="403"/>
      </w:pPr>
      <w:r>
        <w:rPr>
          <w:rFonts w:ascii="Calibri" w:cs="Calibri" w:eastAsia="Calibri" w:hAnsi="Calibri"/>
          <w:b w:val="false"/>
          <w:bCs w:val="false"/>
          <w:color w:val="52514E"/>
          <w:sz w:val="20"/>
          <w:szCs w:val="20"/>
        </w:rPr>
        <w:t xml:space="preserve">29.  Member effort and complexity</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22</w:t>
      </w:r>
    </w:p>
    <w:p>
      <w:pPr>
        <w:tabs>
          <w:tab w:val="right" w:pos="9360" w:leader="dot"/>
        </w:tabs>
        <w:spacing w:after="30" w:before="140"/>
      </w:pPr>
      <w:r>
        <w:rPr>
          <w:rFonts w:ascii="Calibri" w:cs="Calibri" w:eastAsia="Calibri" w:hAnsi="Calibri"/>
          <w:b/>
          <w:bCs/>
          <w:color w:val="1A1A19"/>
          <w:sz w:val="21"/>
          <w:szCs w:val="21"/>
        </w:rPr>
        <w:t xml:space="preserve">Screen 7 · Value pack</w:t>
      </w:r>
      <w:r>
        <w:rPr>
          <w:rFonts w:ascii="Calibri" w:cs="Calibri" w:eastAsia="Calibri" w:hAnsi="Calibri"/>
          <w:color w:val="7A7871"/>
          <w:sz w:val="20"/>
          <w:szCs w:val="20"/>
        </w:rPr>
        <w:t xml:space="preserve">	</w:t>
      </w:r>
      <w:r>
        <w:rPr>
          <w:rFonts w:ascii="Calibri" w:cs="Calibri" w:eastAsia="Calibri" w:hAnsi="Calibri"/>
          <w:b/>
          <w:bCs/>
          <w:color w:val="1A1A19"/>
          <w:sz w:val="21"/>
          <w:szCs w:val="21"/>
        </w:rPr>
        <w:t xml:space="preserve">24</w:t>
      </w:r>
    </w:p>
    <w:p>
      <w:pPr>
        <w:tabs>
          <w:tab w:val="right" w:pos="9360" w:leader="dot"/>
        </w:tabs>
        <w:spacing w:after="30" w:before="0"/>
        <w:ind w:left="403"/>
      </w:pPr>
      <w:r>
        <w:rPr>
          <w:rFonts w:ascii="Calibri" w:cs="Calibri" w:eastAsia="Calibri" w:hAnsi="Calibri"/>
          <w:b w:val="false"/>
          <w:bCs w:val="false"/>
          <w:color w:val="52514E"/>
          <w:sz w:val="20"/>
          <w:szCs w:val="20"/>
        </w:rPr>
        <w:t xml:space="preserve">30.  The quarterly value pack</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24</w:t>
      </w:r>
    </w:p>
    <w:p>
      <w:pPr>
        <w:tabs>
          <w:tab w:val="right" w:pos="9360" w:leader="dot"/>
        </w:tabs>
        <w:spacing w:after="30" w:before="0"/>
        <w:ind w:left="403"/>
      </w:pPr>
      <w:r>
        <w:rPr>
          <w:rFonts w:ascii="Calibri" w:cs="Calibri" w:eastAsia="Calibri" w:hAnsi="Calibri"/>
          <w:b w:val="false"/>
          <w:bCs w:val="false"/>
          <w:color w:val="52514E"/>
          <w:sz w:val="20"/>
          <w:szCs w:val="20"/>
        </w:rPr>
        <w:t xml:space="preserve">31.  Commercial intent routing</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24</w:t>
      </w:r>
    </w:p>
    <w:p>
      <w:pPr>
        <w:tabs>
          <w:tab w:val="right" w:pos="9360" w:leader="dot"/>
        </w:tabs>
        <w:spacing w:after="30" w:before="0"/>
        <w:ind w:left="403"/>
      </w:pPr>
      <w:r>
        <w:rPr>
          <w:rFonts w:ascii="Calibri" w:cs="Calibri" w:eastAsia="Calibri" w:hAnsi="Calibri"/>
          <w:b w:val="false"/>
          <w:bCs w:val="false"/>
          <w:color w:val="52514E"/>
          <w:sz w:val="20"/>
          <w:szCs w:val="20"/>
        </w:rPr>
        <w:t xml:space="preserve">32.  Ancillary attach opportunity</w:t>
      </w:r>
      <w:r>
        <w:rPr>
          <w:rFonts w:ascii="Calibri" w:cs="Calibri" w:eastAsia="Calibri" w:hAnsi="Calibri"/>
          <w:color w:val="7A7871"/>
          <w:sz w:val="20"/>
          <w:szCs w:val="20"/>
        </w:rPr>
        <w:t xml:space="preserve">	</w:t>
      </w:r>
      <w:r>
        <w:rPr>
          <w:rFonts w:ascii="Calibri" w:cs="Calibri" w:eastAsia="Calibri" w:hAnsi="Calibri"/>
          <w:b w:val="false"/>
          <w:bCs w:val="false"/>
          <w:color w:val="7A7871"/>
          <w:sz w:val="20"/>
          <w:szCs w:val="20"/>
        </w:rPr>
        <w:t xml:space="preserve">25</w:t>
      </w:r>
    </w:p>
    <w:p>
      <w:pPr>
        <w:tabs>
          <w:tab w:val="right" w:pos="9360" w:leader="dot"/>
        </w:tabs>
        <w:spacing w:after="30" w:before="160"/>
      </w:pPr>
      <w:r>
        <w:rPr>
          <w:rFonts w:ascii="Calibri" w:cs="Calibri" w:eastAsia="Calibri" w:hAnsi="Calibri"/>
          <w:b/>
          <w:bCs/>
          <w:color w:val="1A1A19"/>
          <w:sz w:val="21"/>
          <w:szCs w:val="21"/>
        </w:rPr>
        <w:t xml:space="preserve">Rules the system holds itself to</w:t>
      </w:r>
      <w:r>
        <w:rPr>
          <w:rFonts w:ascii="Calibri" w:cs="Calibri" w:eastAsia="Calibri" w:hAnsi="Calibri"/>
          <w:color w:val="7A7871"/>
          <w:sz w:val="20"/>
          <w:szCs w:val="20"/>
        </w:rPr>
        <w:t xml:space="preserve">	</w:t>
      </w:r>
      <w:r>
        <w:rPr>
          <w:rFonts w:ascii="Calibri" w:cs="Calibri" w:eastAsia="Calibri" w:hAnsi="Calibri"/>
          <w:b/>
          <w:bCs/>
          <w:color w:val="1A1A19"/>
          <w:sz w:val="21"/>
          <w:szCs w:val="21"/>
        </w:rPr>
        <w:t xml:space="preserve">26</w:t>
      </w:r>
    </w:p>
    <w:p>
      <w:pPr>
        <w:tabs>
          <w:tab w:val="right" w:pos="9360" w:leader="dot"/>
        </w:tabs>
        <w:spacing w:after="30" w:before="160"/>
      </w:pPr>
      <w:r>
        <w:rPr>
          <w:rFonts w:ascii="Calibri" w:cs="Calibri" w:eastAsia="Calibri" w:hAnsi="Calibri"/>
          <w:b/>
          <w:bCs/>
          <w:color w:val="1A1A19"/>
          <w:sz w:val="21"/>
          <w:szCs w:val="21"/>
        </w:rPr>
        <w:t xml:space="preserve">What neither build can do yet</w:t>
      </w:r>
      <w:r>
        <w:rPr>
          <w:rFonts w:ascii="Calibri" w:cs="Calibri" w:eastAsia="Calibri" w:hAnsi="Calibri"/>
          <w:color w:val="7A7871"/>
          <w:sz w:val="20"/>
          <w:szCs w:val="20"/>
        </w:rPr>
        <w:t xml:space="preserve">	</w:t>
      </w:r>
      <w:r>
        <w:rPr>
          <w:rFonts w:ascii="Calibri" w:cs="Calibri" w:eastAsia="Calibri" w:hAnsi="Calibri"/>
          <w:b/>
          <w:bCs/>
          <w:color w:val="1A1A19"/>
          <w:sz w:val="21"/>
          <w:szCs w:val="21"/>
        </w:rPr>
        <w:t xml:space="preserve">27</w:t>
      </w:r>
    </w:p>
    <w:p>
      <w:r>
        <w:br w:type="page"/>
      </w:r>
    </w:p>
    <w:p>
      <w:pPr>
        <w:pStyle w:val="Heading1"/>
        <w:spacing w:after="180" w:before="360"/>
      </w:pPr>
      <w:r>
        <w:rPr>
          <w:rFonts w:ascii="Calibri" w:cs="Calibri" w:eastAsia="Calibri" w:hAnsi="Calibri"/>
          <w:b/>
          <w:bCs/>
          <w:color w:val="1A1A19"/>
          <w:sz w:val="30"/>
          <w:szCs w:val="30"/>
        </w:rPr>
        <w:t xml:space="preserve">Why this document</w:t>
      </w:r>
    </w:p>
    <w:p>
      <w:pPr>
        <w:spacing w:after="160" w:line="288"/>
      </w:pPr>
      <w:r>
        <w:rPr>
          <w:rFonts w:ascii="Calibri" w:cs="Calibri" w:eastAsia="Calibri" w:hAnsi="Calibri"/>
          <w:color w:val="52514E"/>
          <w:sz w:val="21"/>
          <w:szCs w:val="21"/>
        </w:rPr>
        <w:t xml:space="preserve">Two prototypes were built independently against the same v9 corpus. The Account Signals build reads the real batch-1 transcripts and the build bible; the attribution build runs on a generated book designed to test what the data would have to contain. They overlap in places, disagree in others, and between them cover more ground than either does alone.</w:t>
      </w:r>
    </w:p>
    <w:p>
      <w:pPr>
        <w:spacing w:after="160" w:line="288"/>
      </w:pPr>
      <w:r>
        <w:rPr>
          <w:rFonts w:ascii="Calibri" w:cs="Calibri" w:eastAsia="Calibri" w:hAnsi="Calibri"/>
          <w:color w:val="52514E"/>
          <w:sz w:val="21"/>
          <w:szCs w:val="21"/>
        </w:rPr>
        <w:t xml:space="preserve">This is the union. Where both had a version of an insight, the better one is kept or the two are combined and the merge is explained. Where only one had it, it stands. Where comparing the two produced something neither had, it is marked as new. Thirty-two insights across seven screens, then the practices that decide whether anyone believes them, then the data neither build can get hold of yet.</w:t>
      </w:r>
    </w:p>
    <w:p>
      <w:pPr>
        <w:spacing w:after="160" w:line="288"/>
      </w:pPr>
      <w:r>
        <w:rPr>
          <w:rFonts w:ascii="Calibri" w:cs="Calibri" w:eastAsia="Calibri" w:hAnsi="Calibri"/>
          <w:color w:val="52514E"/>
          <w:sz w:val="21"/>
          <w:szCs w:val="21"/>
        </w:rPr>
        <w:t xml:space="preserve">Every entry says which build it came from. That is not bookkeeping — it is how we split the work and how we present it as one thing rather than two.</w:t>
      </w:r>
    </w:p>
    <w:p>
      <w:pPr>
        <w:pStyle w:val="Heading1"/>
        <w:spacing w:after="180" w:before="360"/>
      </w:pPr>
      <w:r>
        <w:rPr>
          <w:rFonts w:ascii="Calibri" w:cs="Calibri" w:eastAsia="Calibri" w:hAnsi="Calibri"/>
          <w:b/>
          <w:bCs/>
          <w:color w:val="1A1A19"/>
          <w:sz w:val="30"/>
          <w:szCs w:val="30"/>
        </w:rPr>
        <w:t xml:space="preserve">The idea in one call</w:t>
      </w:r>
    </w:p>
    <w:p>
      <w:pPr>
        <w:spacing w:after="160" w:line="288"/>
      </w:pPr>
      <w:r>
        <w:rPr>
          <w:rFonts w:ascii="Calibri" w:cs="Calibri" w:eastAsia="Calibri" w:hAnsi="Calibri"/>
          <w:color w:val="52514E"/>
          <w:sz w:val="21"/>
          <w:szCs w:val="21"/>
        </w:rPr>
        <w:t xml:space="preserve">A member rings because a dental claim was denied. Most systems file it under Claims &amp; EOB and stop there. That single category is the whole record, and nothing can be done with it.</w:t>
      </w:r>
    </w:p>
    <w:p>
      <w:pPr>
        <w:spacing w:after="160" w:line="288"/>
      </w:pPr>
      <w:r>
        <w:rPr>
          <w:rFonts w:ascii="Calibri" w:cs="Calibri" w:eastAsia="Calibri" w:hAnsi="Calibri"/>
          <w:color w:val="52514E"/>
          <w:sz w:val="21"/>
          <w:szCs w:val="21"/>
        </w:rPr>
        <w:t xml:space="preserve">Listen to the same call properly and there are two separate failures, owned by two different people.</w:t>
      </w:r>
    </w:p>
    <w:p>
      <w:pPr>
        <w:pStyle w:val="ListParagraph"/>
        <w:numPr>
          <w:ilvl w:val="0"/>
          <w:numId w:val="2"/>
        </w:numPr>
        <w:spacing w:after="90" w:line="276"/>
      </w:pPr>
      <w:r>
        <w:rPr>
          <w:rFonts w:ascii="Calibri" w:cs="Calibri" w:eastAsia="Calibri" w:hAnsi="Calibri"/>
          <w:color w:val="52514E"/>
          <w:sz w:val="21"/>
          <w:szCs w:val="21"/>
        </w:rPr>
        <w:t xml:space="preserve">The reason he rang: a denial notice that said “ineligible” and stopped. That is ours. Fixing it is a template change.</w:t>
      </w:r>
    </w:p>
    <w:p>
      <w:pPr>
        <w:pStyle w:val="ListParagraph"/>
        <w:numPr>
          <w:ilvl w:val="0"/>
          <w:numId w:val="2"/>
        </w:numPr>
        <w:spacing w:after="200" w:line="276"/>
      </w:pPr>
      <w:r>
        <w:rPr>
          <w:rFonts w:ascii="Calibri" w:cs="Calibri" w:eastAsia="Calibri" w:hAnsi="Calibri"/>
          <w:color w:val="52514E"/>
          <w:sz w:val="21"/>
          <w:szCs w:val="21"/>
        </w:rPr>
        <w:t xml:space="preserve">The reason there was anything to deny: somebody told him at enrolment that the work was covered. That is the broker's, and fixing it is a conversation.</w:t>
      </w:r>
    </w:p>
    <w:p>
      <w:pPr>
        <w:spacing w:after="160" w:line="288"/>
      </w:pPr>
      <w:r>
        <w:rPr>
          <w:rFonts w:ascii="Calibri" w:cs="Calibri" w:eastAsia="Calibri" w:hAnsi="Calibri"/>
          <w:color w:val="52514E"/>
          <w:sz w:val="21"/>
          <w:szCs w:val="21"/>
        </w:rPr>
        <w:t xml:space="preserve">Record only the category and both are lost. Record only one fault and you lose either the cheap fix or the expensive lesson. Record both, with the member's own words attached, and one call becomes a line in a defect queue, a data point about a broker, and evidence in a renewal conversation.</w:t>
      </w:r>
    </w:p>
    <w:p>
      <w:pPr>
        <w:spacing w:after="160" w:line="288"/>
      </w:pPr>
      <w:r>
        <w:rPr>
          <w:rFonts w:ascii="Calibri" w:cs="Calibri" w:eastAsia="Calibri" w:hAnsi="Calibri"/>
          <w:color w:val="52514E"/>
          <w:sz w:val="21"/>
          <w:szCs w:val="21"/>
        </w:rPr>
        <w:t xml:space="preserve">The Account Signals build already captures the first of those two — it carries a touchpoint and a complaint target on every call, and C-0001 in its dataset is tagged exactly this way. What it cannot hold is the second. That is the single schema change the attribution model asks for, and most of what is new in this catalogue follows from it.</w:t>
      </w:r>
    </w:p>
    <w:p>
      <w:pPr>
        <w:pStyle w:val="Heading1"/>
        <w:spacing w:after="180" w:before="360"/>
      </w:pPr>
      <w:r>
        <w:rPr>
          <w:rFonts w:ascii="Calibri" w:cs="Calibri" w:eastAsia="Calibri" w:hAnsi="Calibri"/>
          <w:b/>
          <w:bCs/>
          <w:color w:val="1A1A19"/>
          <w:sz w:val="30"/>
          <w:szCs w:val="30"/>
        </w:rPr>
        <w:t xml:space="preserve">How to read the catalogue</w:t>
      </w:r>
    </w:p>
    <w:p>
      <w:pPr>
        <w:spacing w:after="160" w:line="288"/>
      </w:pPr>
      <w:r>
        <w:rPr>
          <w:rFonts w:ascii="Calibri" w:cs="Calibri" w:eastAsia="Calibri" w:hAnsi="Calibri"/>
          <w:color w:val="52514E"/>
          <w:sz w:val="21"/>
          <w:szCs w:val="21"/>
        </w:rPr>
        <w:t xml:space="preserve">Insights are grouped by the screen they live on: seven screens, each answering one question for one named person. Everything else is a metric inside one of them rather than a screen of its own.</w:t>
      </w:r>
    </w:p>
    <w:p>
      <w:pPr>
        <w:spacing w:after="160" w:line="288"/>
      </w:pPr>
      <w:r>
        <w:rPr>
          <w:rFonts w:ascii="Calibri" w:cs="Calibri" w:eastAsia="Calibri" w:hAnsi="Calibri"/>
          <w:color w:val="52514E"/>
          <w:sz w:val="21"/>
          <w:szCs w:val="21"/>
        </w:rPr>
        <w:t xml:space="preserve">Each entry carries its origin, a short description, and a worked example — first what happens in the real world, then what the dashboard shows. Where an entry is merged, a short note says what each build contributed and why the combination differs from both.</w:t>
      </w:r>
    </w:p>
    <w:p>
      <w:pPr>
        <w:spacing w:after="160" w:line="288"/>
      </w:pPr>
      <w:r>
        <w:rPr>
          <w:rFonts w:ascii="Calibri" w:cs="Calibri" w:eastAsia="Calibri" w:hAnsi="Calibri"/>
          <w:color w:val="52514E"/>
          <w:sz w:val="21"/>
          <w:szCs w:val="21"/>
        </w:rPr>
        <w:t xml:space="preserve">Figures are labelled. Those marked (AS) are real, counted from the v9 corpus by the Account Signals pipeline: 100 written calls of a planned 600, across 95 employers and 30 brokers. Those marked (AP) are synthetic, from the attribution prototype's generated book of 2,192 calls over twelve months. The two are never mixed inside one example, because one of them is evidence and the other is a design sketch.</w:t>
      </w:r>
    </w:p>
    <w:p>
      <w:pPr>
        <w:spacing w:after="160" w:line="288"/>
      </w:pPr>
      <w:r>
        <w:rPr>
          <w:rFonts w:ascii="Calibri" w:cs="Calibri" w:eastAsia="Calibri" w:hAnsi="Calibri"/>
          <w:color w:val="52514E"/>
          <w:sz w:val="21"/>
          <w:szCs w:val="21"/>
        </w:rPr>
        <w:t xml:space="preserve">Five entries are marked as needing data we do not have. They stay in the list. Data can be procured; knowing what to ask for is the harder half.</w:t>
      </w:r>
    </w:p>
    <w:p>
      <w:pPr>
        <w:pStyle w:val="Heading1"/>
        <w:spacing w:after="180" w:before="360"/>
      </w:pPr>
      <w:r>
        <w:rPr>
          <w:rFonts w:ascii="Calibri" w:cs="Calibri" w:eastAsia="Calibri" w:hAnsi="Calibri"/>
          <w:b/>
          <w:bCs/>
          <w:color w:val="1A1A19"/>
          <w:sz w:val="30"/>
          <w:szCs w:val="30"/>
        </w:rPr>
        <w:t xml:space="preserve">One thing to settle first</w:t>
      </w:r>
    </w:p>
    <w:p>
      <w:pPr>
        <w:spacing w:after="160" w:line="288"/>
      </w:pPr>
      <w:r>
        <w:rPr>
          <w:rFonts w:ascii="Calibri" w:cs="Calibri" w:eastAsia="Calibri" w:hAnsi="Calibri"/>
          <w:color w:val="52514E"/>
          <w:sz w:val="21"/>
          <w:szCs w:val="21"/>
        </w:rPr>
        <w:t xml:space="preserve">The two builds are keyed to different workbook issues. Account Signals reads build bible 2 and the numbered batch-1 PDF; the attribution work was done against build bible 1 and the unnumbered PDF. On call C-0001 the date, agent, score, category and rule references match exactly across both — and the caller does not. One has CB-7700205 Leon Castellano, the other CB-7700001 Rowan Hollis.</w:t>
      </w:r>
    </w:p>
    <w:p>
      <w:pPr>
        <w:spacing w:after="160" w:line="288"/>
      </w:pPr>
      <w:r>
        <w:rPr>
          <w:rFonts w:ascii="Calibri" w:cs="Calibri" w:eastAsia="Calibri" w:hAnsi="Calibri"/>
          <w:color w:val="52514E"/>
          <w:sz w:val="21"/>
          <w:szCs w:val="21"/>
        </w:rPr>
        <w:t xml:space="preserve">That matters more than it looks. Every employer, broker and region on the Account Signals calls is derived by joining the caller reference to the Member and Contact masters. If those references moved between issues, the account attribution moved with them, and the risk table, the region heatmap and the broker rollup are all keyed on it. Worth asking Karim which workbook is authoritative before either build is shown to anyone.</w:t>
      </w:r>
    </w:p>
    <w:p>
      <w:r>
        <w:br w:type="page"/>
      </w:r>
    </w:p>
    <w:p>
      <w:pPr>
        <w:spacing w:after="60"/>
      </w:pPr>
      <w:r>
        <w:rPr>
          <w:rFonts w:ascii="Calibri" w:cs="Calibri" w:eastAsia="Calibri" w:hAnsi="Calibri"/>
          <w:b/>
          <w:bCs/>
          <w:color w:val="7A7871"/>
          <w:spacing w:val="26"/>
          <w:sz w:val="16"/>
          <w:szCs w:val="16"/>
        </w:rPr>
        <w:t xml:space="preserve">Screen 1 of 7</w:t>
      </w:r>
    </w:p>
    <w:p>
      <w:pPr>
        <w:pStyle w:val="Heading1"/>
        <w:spacing w:after="130"/>
      </w:pPr>
      <w:r>
        <w:rPr>
          <w:rFonts w:ascii="Calibri" w:cs="Calibri" w:eastAsia="Calibri" w:hAnsi="Calibri"/>
          <w:b/>
          <w:bCs/>
          <w:color w:val="1A1A19"/>
          <w:sz w:val="34"/>
          <w:szCs w:val="34"/>
        </w:rPr>
        <w:t xml:space="preserve">Account risk</w:t>
      </w:r>
    </w:p>
    <w:p>
      <w:pPr>
        <w:spacing w:after="80"/>
      </w:pPr>
      <w:r>
        <w:rPr>
          <w:rFonts w:ascii="Calibri" w:cs="Calibri" w:eastAsia="Calibri" w:hAnsi="Calibri"/>
          <w:i/>
          <w:iCs/>
          <w:color w:val="1C5CAB"/>
          <w:sz w:val="23"/>
          <w:szCs w:val="23"/>
        </w:rPr>
        <w:t xml:space="preserve">Which groups are drifting before renewal, and what is pushing them?</w:t>
      </w:r>
    </w:p>
    <w:p>
      <w:pPr>
        <w:pBdr>
          <w:bottom w:val="single" w:color="D8D7D0" w:sz="6" w:space="12"/>
        </w:pBdr>
        <w:spacing w:after="180"/>
      </w:pPr>
      <w:r>
        <w:rPr>
          <w:rFonts w:ascii="Calibri" w:cs="Calibri" w:eastAsia="Calibri" w:hAnsi="Calibri"/>
          <w:color w:val="7A7871"/>
          <w:sz w:val="18"/>
          <w:szCs w:val="18"/>
        </w:rPr>
        <w:t xml:space="preserve">Opened by: Account manager, ahead of a renewal conversation</w:t>
      </w:r>
    </w:p>
    <w:p>
      <w:pPr>
        <w:spacing w:after="260" w:before="160" w:line="288"/>
      </w:pPr>
      <w:r>
        <w:rPr>
          <w:rFonts w:ascii="Calibri" w:cs="Calibri" w:eastAsia="Calibri" w:hAnsi="Calibri"/>
          <w:color w:val="52514E"/>
          <w:sz w:val="21"/>
          <w:szCs w:val="21"/>
        </w:rPr>
        <w:t xml:space="preserve">Every group scored on conditions observed in its calls — never a prediction, and never described as one. The merged version takes the ten indicator families from Account Signals and the rate-based thresholds and peer normalisation from the attribution build, because the two solve different halves of the same problem: his list is broader, ours refuses to fire on a single call.</w:t>
      </w:r>
    </w:p>
    <w:p>
      <w:pPr>
        <w:pStyle w:val="Heading2"/>
        <w:keepNext/>
        <w:spacing w:after="70" w:before="320"/>
      </w:pPr>
      <w:r>
        <w:rPr>
          <w:rFonts w:ascii="Calibri" w:cs="Calibri" w:eastAsia="Calibri" w:hAnsi="Calibri"/>
          <w:b/>
          <w:bCs/>
          <w:color w:val="7A7871"/>
          <w:sz w:val="24"/>
          <w:szCs w:val="24"/>
        </w:rPr>
        <w:t xml:space="preserve">1.  </w:t>
      </w:r>
      <w:r>
        <w:rPr>
          <w:rFonts w:ascii="Calibri" w:cs="Calibri" w:eastAsia="Calibri" w:hAnsi="Calibri"/>
          <w:b/>
          <w:bCs/>
          <w:color w:val="1A1A19"/>
          <w:sz w:val="24"/>
          <w:szCs w:val="24"/>
        </w:rPr>
        <w:t xml:space="preserve">Group renewal risk band</w:t>
      </w:r>
    </w:p>
    <w:p>
      <w:pPr>
        <w:keepNext/>
        <w:spacing w:after="110"/>
      </w:pPr>
      <w:r>
        <w:rPr>
          <w:rFonts w:ascii="Calibri" w:cs="Calibri" w:eastAsia="Calibri" w:hAnsi="Calibri"/>
          <w:b/>
          <w:bCs/>
          <w:color w:val="046604"/>
          <w:spacing w:val="24"/>
          <w:sz w:val="15"/>
          <w:szCs w:val="15"/>
        </w:rPr>
        <w:t xml:space="preserve">MERGED</w:t>
      </w:r>
    </w:p>
    <w:p>
      <w:pPr>
        <w:spacing w:after="130" w:line="288"/>
      </w:pPr>
      <w:r>
        <w:rPr>
          <w:rFonts w:ascii="Calibri" w:cs="Calibri" w:eastAsia="Calibri" w:hAnsi="Calibri"/>
          <w:color w:val="52514E"/>
          <w:sz w:val="21"/>
          <w:szCs w:val="21"/>
        </w:rPr>
        <w:t xml:space="preserve">A count of distinct conditions a group's calls raise — not a weighted score. Ten families: unresolved outcome, escalation warranted and not handled, complaint attributed to us, repeat contact, exit language, a critical-severity signal, a compliance control exception, a rule stated incorrectly, high member effort, and a broker named adversely. Two families is Elevated, four is High. Each family now carries an absolute floor and a rate test, so a group with one call can no longer reach a band.</w:t>
      </w:r>
    </w:p>
    <w:p>
      <w:pPr>
        <w:pBdr>
          <w:left w:val="single" w:color="046604" w:sz="12" w:space="10"/>
        </w:pBdr>
        <w:spacing w:after="200" w:line="276"/>
        <w:ind w:left="230"/>
      </w:pPr>
      <w:r>
        <w:rPr>
          <w:rFonts w:ascii="Calibri" w:cs="Calibri" w:eastAsia="Calibri" w:hAnsi="Calibri"/>
          <w:i/>
          <w:iCs/>
          <w:color w:val="1A1A19"/>
          <w:sz w:val="19"/>
          <w:szCs w:val="19"/>
        </w:rPr>
        <w:t xml:space="preserve">Both builds had this. Account Signals contributes the ten indicator families; the attribution build contributes rate-based thresholds, size-matched peers and the outcome calibration.</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b/>
          <w:bCs/>
          <w:color w:val="046604"/>
          <w:spacing w:val="24"/>
          <w:sz w:val="15"/>
          <w:szCs w:val="15"/>
        </w:rPr>
        <w:t xml:space="preserve">EXAMPLE</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color w:val="52514E"/>
          <w:sz w:val="20"/>
          <w:szCs w:val="20"/>
        </w:rPr>
        <w:t xml:space="preserve">A group with 188 lives renews in October. Its members made 41 calls over the year and its contact rate is actually below average for its size, so nothing about its volume stands out. Five separate conditions fire underneath: unresolved calls, repeat contact, escalations refused, exit language from someone who can bind, and half its calls attributed to its broker.</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Band: High — five of ten families, the most of any group in the book (AP)</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21 of its 41 calls attributed to its broker, against 9 to us (AP)</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Contact rate 21.8 per 100 lives, 15% below its size-matched peers (AP)</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In the live corpus today the same test puts 18 accounts in High and 12 in Elevated across 92 accounts with calls (AS)</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The merge matters here. Account Signals currently bands 18 accounts High off a single call each, because 85 of its 92 accounts have exactly one written call. The rate gates from the attribution build stop that, at the cost of saying nothing until the corpus reaches volume.</w:t>
      </w:r>
    </w:p>
    <w:p>
      <w:pPr>
        <w:pStyle w:val="Heading2"/>
        <w:keepNext/>
        <w:spacing w:after="70" w:before="320"/>
      </w:pPr>
      <w:r>
        <w:rPr>
          <w:rFonts w:ascii="Calibri" w:cs="Calibri" w:eastAsia="Calibri" w:hAnsi="Calibri"/>
          <w:b/>
          <w:bCs/>
          <w:color w:val="7A7871"/>
          <w:sz w:val="24"/>
          <w:szCs w:val="24"/>
        </w:rPr>
        <w:t xml:space="preserve">2.  </w:t>
      </w:r>
      <w:r>
        <w:rPr>
          <w:rFonts w:ascii="Calibri" w:cs="Calibri" w:eastAsia="Calibri" w:hAnsi="Calibri"/>
          <w:b/>
          <w:bCs/>
          <w:color w:val="1A1A19"/>
          <w:sz w:val="24"/>
          <w:szCs w:val="24"/>
        </w:rPr>
        <w:t xml:space="preserve">Size-matched contact rate</w:t>
      </w:r>
    </w:p>
    <w:p>
      <w:pPr>
        <w:keepNext/>
        <w:spacing w:after="110"/>
      </w:pPr>
      <w:r>
        <w:rPr>
          <w:rFonts w:ascii="Calibri" w:cs="Calibri" w:eastAsia="Calibri" w:hAnsi="Calibri"/>
          <w:b/>
          <w:bCs/>
          <w:color w:val="1C5CAB"/>
          <w:spacing w:val="24"/>
          <w:sz w:val="15"/>
          <w:szCs w:val="15"/>
        </w:rPr>
        <w:t xml:space="preserve">ATTRIBUTION PROTOTYPE</w:t>
      </w:r>
    </w:p>
    <w:p>
      <w:pPr>
        <w:spacing w:after="200" w:line="288"/>
      </w:pPr>
      <w:r>
        <w:rPr>
          <w:rFonts w:ascii="Calibri" w:cs="Calibri" w:eastAsia="Calibri" w:hAnsi="Calibri"/>
          <w:color w:val="52514E"/>
          <w:sz w:val="21"/>
          <w:szCs w:val="21"/>
        </w:rPr>
        <w:t xml:space="preserve">Calls per 100 covered lives, compared against groups of the same size rather than against the book. Contact rate falls steeply with group size, so a single book-wide median marks every small group as a problem and every large one as healthy.</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1C5CAB"/>
          <w:spacing w:val="24"/>
          <w:sz w:val="15"/>
          <w:szCs w:val="15"/>
        </w:rPr>
        <w:t xml:space="preserve">EXAMPLE</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color w:val="52514E"/>
          <w:sz w:val="20"/>
          <w:szCs w:val="20"/>
        </w:rPr>
        <w:t xml:space="preserve">A fourteen-life group makes nine calls a year. A four-hundred-life group makes sixty. Ranked on raw rate the small group looks three times worse; ranked on raw count it disappears. Both readings are wrong.</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Band medians: 63.6 calls per 100 lives for 2–24 lives, 36.9 for 25–74, 25.5 for 75–199, 19.4 for 200+ (AP)</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Each row reads “+25% vs peers” rather than an absolute rate</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3.  </w:t>
      </w:r>
      <w:r>
        <w:rPr>
          <w:rFonts w:ascii="Calibri" w:cs="Calibri" w:eastAsia="Calibri" w:hAnsi="Calibri"/>
          <w:b/>
          <w:bCs/>
          <w:color w:val="1A1A19"/>
          <w:sz w:val="24"/>
          <w:szCs w:val="24"/>
        </w:rPr>
        <w:t xml:space="preserve">Authority-weighted exit language</w:t>
      </w:r>
    </w:p>
    <w:p>
      <w:pPr>
        <w:keepNext/>
        <w:spacing w:after="110"/>
      </w:pPr>
      <w:r>
        <w:rPr>
          <w:rFonts w:ascii="Calibri" w:cs="Calibri" w:eastAsia="Calibri" w:hAnsi="Calibri"/>
          <w:b/>
          <w:bCs/>
          <w:color w:val="1C5CAB"/>
          <w:spacing w:val="24"/>
          <w:sz w:val="15"/>
          <w:szCs w:val="15"/>
        </w:rPr>
        <w:t xml:space="preserve">ATTRIBUTION PROTOTYPE</w:t>
      </w:r>
    </w:p>
    <w:p>
      <w:pPr>
        <w:spacing w:after="130" w:line="288"/>
      </w:pPr>
      <w:r>
        <w:rPr>
          <w:rFonts w:ascii="Calibri" w:cs="Calibri" w:eastAsia="Calibri" w:hAnsi="Calibri"/>
          <w:color w:val="52514E"/>
          <w:sz w:val="21"/>
          <w:szCs w:val="21"/>
        </w:rPr>
        <w:t xml:space="preserve">Somebody saying they are looking at other options matters only if they can act on it. The employer contact record carries whether that person can bind the group, so idle grumbling and a real warning stop looking the same.</w:t>
      </w:r>
    </w:p>
    <w:p>
      <w:pPr>
        <w:pBdr>
          <w:left w:val="single" w:color="1C5CAB" w:sz="12" w:space="10"/>
        </w:pBdr>
        <w:spacing w:after="200" w:line="276"/>
        <w:ind w:left="230"/>
      </w:pPr>
      <w:r>
        <w:rPr>
          <w:rFonts w:ascii="Calibri" w:cs="Calibri" w:eastAsia="Calibri" w:hAnsi="Calibri"/>
          <w:i/>
          <w:iCs/>
          <w:color w:val="1A1A19"/>
          <w:sz w:val="19"/>
          <w:szCs w:val="19"/>
        </w:rPr>
        <w:t xml:space="preserve">Both builds carry the fields — exit intent and contact authority. Neither combined them until now.</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1C5CAB"/>
          <w:spacing w:val="24"/>
          <w:sz w:val="15"/>
          <w:szCs w:val="15"/>
        </w:rPr>
        <w:t xml:space="preserve">EXAMPLE</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color w:val="52514E"/>
          <w:sz w:val="20"/>
          <w:szCs w:val="20"/>
        </w:rPr>
        <w:t xml:space="preserve">An office manager says the renewal quote looks steep. An HR director says they have asked another agency to quote. Identical sentiment, entirely different meaning.</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79 calls contained exit language; 38 from a contact who can bind — only those raise a condition (AP)</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In the live corpus, 4 calls carry market-test intent and 37 of 100 calls have an authority value recorded (AS)</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4.  </w:t>
      </w:r>
      <w:r>
        <w:rPr>
          <w:rFonts w:ascii="Calibri" w:cs="Calibri" w:eastAsia="Calibri" w:hAnsi="Calibri"/>
          <w:b/>
          <w:bCs/>
          <w:color w:val="1A1A19"/>
          <w:sz w:val="24"/>
          <w:szCs w:val="24"/>
        </w:rPr>
        <w:t xml:space="preserve">Failure-driven repeat contact</w:t>
      </w:r>
    </w:p>
    <w:p>
      <w:pPr>
        <w:keepNext/>
        <w:spacing w:after="110"/>
      </w:pPr>
      <w:r>
        <w:rPr>
          <w:rFonts w:ascii="Calibri" w:cs="Calibri" w:eastAsia="Calibri" w:hAnsi="Calibri"/>
          <w:b/>
          <w:bCs/>
          <w:color w:val="3E3192"/>
          <w:spacing w:val="24"/>
          <w:sz w:val="15"/>
          <w:szCs w:val="15"/>
        </w:rPr>
        <w:t xml:space="preserve">ACCOUNT SIGNALS</w:t>
      </w:r>
    </w:p>
    <w:p>
      <w:pPr>
        <w:spacing w:after="200" w:line="288"/>
      </w:pPr>
      <w:r>
        <w:rPr>
          <w:rFonts w:ascii="Calibri" w:cs="Calibri" w:eastAsia="Calibri" w:hAnsi="Calibri"/>
          <w:color w:val="52514E"/>
          <w:sz w:val="21"/>
          <w:szCs w:val="21"/>
        </w:rPr>
        <w:t xml:space="preserve">The same member, the same issue, a second call inside fourteen days. The honest version of first-call resolution: an agent can mark a call resolved, and a second call says otherwise.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3E3192"/>
          <w:spacing w:val="24"/>
          <w:sz w:val="15"/>
          <w:szCs w:val="15"/>
        </w:rPr>
        <w:t xml:space="preserve">EXAMPLE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color w:val="52514E"/>
          <w:sz w:val="20"/>
          <w:szCs w:val="20"/>
        </w:rPr>
        <w:t xml:space="preserve">A member rings about an ID card that never arrived, is told it is on its way, and rings again a fortnight later because it still has not come. The first call was closed as resolved and counted towards the service target.</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8 repeat pairs in the 100 written calls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Raises a condition at three or more, above 14% of a group's calls (AP threshold)</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5.  </w:t>
      </w:r>
      <w:r>
        <w:rPr>
          <w:rFonts w:ascii="Calibri" w:cs="Calibri" w:eastAsia="Calibri" w:hAnsi="Calibri"/>
          <w:b/>
          <w:bCs/>
          <w:color w:val="1A1A19"/>
          <w:sz w:val="24"/>
          <w:szCs w:val="24"/>
        </w:rPr>
        <w:t xml:space="preserve">Escalation integrity</w:t>
      </w:r>
    </w:p>
    <w:p>
      <w:pPr>
        <w:keepNext/>
        <w:spacing w:after="110"/>
      </w:pPr>
      <w:r>
        <w:rPr>
          <w:rFonts w:ascii="Calibri" w:cs="Calibri" w:eastAsia="Calibri" w:hAnsi="Calibri"/>
          <w:b/>
          <w:bCs/>
          <w:color w:val="3E3192"/>
          <w:spacing w:val="24"/>
          <w:sz w:val="15"/>
          <w:szCs w:val="15"/>
        </w:rPr>
        <w:t xml:space="preserve">ACCOUNT SIGNALS</w:t>
      </w:r>
    </w:p>
    <w:p>
      <w:pPr>
        <w:spacing w:after="130" w:line="288"/>
      </w:pPr>
      <w:r>
        <w:rPr>
          <w:rFonts w:ascii="Calibri" w:cs="Calibri" w:eastAsia="Calibri" w:hAnsi="Calibri"/>
          <w:color w:val="52514E"/>
          <w:sz w:val="21"/>
          <w:szCs w:val="21"/>
        </w:rPr>
        <w:t xml:space="preserve">Of the calls where something genuinely warranted a supervisor, how many got one. Deliberately not escalations as a share of all calls, which is a different number that always looks fine.</w:t>
      </w:r>
    </w:p>
    <w:p>
      <w:pPr>
        <w:pBdr>
          <w:left w:val="single" w:color="3E3192" w:sz="12" w:space="10"/>
        </w:pBdr>
        <w:spacing w:after="200" w:line="276"/>
        <w:ind w:left="230"/>
      </w:pPr>
      <w:r>
        <w:rPr>
          <w:rFonts w:ascii="Calibri" w:cs="Calibri" w:eastAsia="Calibri" w:hAnsi="Calibri"/>
          <w:i/>
          <w:iCs/>
          <w:color w:val="1A1A19"/>
          <w:sz w:val="19"/>
          <w:szCs w:val="19"/>
        </w:rPr>
        <w:t xml:space="preserve">Account Signals' version is better and is kept as-is: it shows the correct figure and the misleading one side by side.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3E3192"/>
          <w:spacing w:val="24"/>
          <w:sz w:val="15"/>
          <w:szCs w:val="15"/>
        </w:rPr>
        <w:t xml:space="preserve">EXAMPLE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color w:val="52514E"/>
          <w:sz w:val="20"/>
          <w:szCs w:val="20"/>
        </w:rPr>
        <w:t xml:space="preserve">A member with scheduled surgery at risk asks to speak to someone senior. The agent handles it themselves and resolves it. Sometimes that is good service, and sometimes it is a refusal nobody recorded.</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7 of 11 warranted escalations were handled — 64%, a 36% refusal rate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Measured against all 100 calls instead, the same evidence reads as a single-figure percentage and looks unremarkable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Both numbers are shown as adjacent tiles, one labelled “on the wrong denominator”</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6.  </w:t>
      </w:r>
      <w:r>
        <w:rPr>
          <w:rFonts w:ascii="Calibri" w:cs="Calibri" w:eastAsia="Calibri" w:hAnsi="Calibri"/>
          <w:b/>
          <w:bCs/>
          <w:color w:val="1A1A19"/>
          <w:sz w:val="24"/>
          <w:szCs w:val="24"/>
        </w:rPr>
        <w:t xml:space="preserve">Employer-caused member confusion</w:t>
      </w:r>
    </w:p>
    <w:p>
      <w:pPr>
        <w:keepNext/>
        <w:spacing w:after="110"/>
      </w:pPr>
      <w:r>
        <w:rPr>
          <w:rFonts w:ascii="Calibri" w:cs="Calibri" w:eastAsia="Calibri" w:hAnsi="Calibri"/>
          <w:b/>
          <w:bCs/>
          <w:color w:val="1C5CAB"/>
          <w:spacing w:val="24"/>
          <w:sz w:val="15"/>
          <w:szCs w:val="15"/>
        </w:rPr>
        <w:t xml:space="preserve">ATTRIBUTION PROTOTYPE</w:t>
      </w:r>
    </w:p>
    <w:p>
      <w:pPr>
        <w:spacing w:after="130" w:line="288"/>
      </w:pPr>
      <w:r>
        <w:rPr>
          <w:rFonts w:ascii="Calibri" w:cs="Calibri" w:eastAsia="Calibri" w:hAnsi="Calibri"/>
          <w:color w:val="52514E"/>
          <w:sz w:val="21"/>
          <w:szCs w:val="21"/>
        </w:rPr>
        <w:t xml:space="preserve">Groups whose own HR communications, forms or enrolment handling generate repeated member calls. Word &amp; Brown ends up explaining a problem it did not create, at its own cost.</w:t>
      </w:r>
    </w:p>
    <w:p>
      <w:pPr>
        <w:pBdr>
          <w:left w:val="single" w:color="1C5CAB" w:sz="12" w:space="10"/>
        </w:pBdr>
        <w:spacing w:after="200" w:line="276"/>
        <w:ind w:left="230"/>
      </w:pPr>
      <w:r>
        <w:rPr>
          <w:rFonts w:ascii="Calibri" w:cs="Calibri" w:eastAsia="Calibri" w:hAnsi="Calibri"/>
          <w:i/>
          <w:iCs/>
          <w:color w:val="1A1A19"/>
          <w:sz w:val="19"/>
          <w:szCs w:val="19"/>
        </w:rPr>
        <w:t xml:space="preserve">New. The v9 tag schema's complaint attribution has no EMPLOYER value, so neither build could express this before the fault model was added.</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1C5CAB"/>
          <w:spacing w:val="24"/>
          <w:sz w:val="15"/>
          <w:szCs w:val="15"/>
        </w:rPr>
        <w:t xml:space="preserve">EXAMPLE</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color w:val="52514E"/>
          <w:sz w:val="20"/>
          <w:szCs w:val="20"/>
        </w:rPr>
        <w:t xml:space="preserve">A group's HR sends round an email telling somebody they are ineligible, with no reason and nothing else. He rings us. The agent explains the waiting period correctly, and also has to explain why his employer's email said nothing useful.</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One group: 8 of 35 calls attributed to its own communications, all at one touchpoint (AP)</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Three plays available — coach the agents, go to the employer directly, or hand it to the broker so they look good</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Requires the complaint attribution vocabulary to be extended beyond CHOICE / BROKER / CARRIER / PROVIDER. Worth raising with Karim as a v10 schema change.</w:t>
      </w:r>
    </w:p>
    <w:p>
      <w:pPr>
        <w:pStyle w:val="Heading2"/>
        <w:keepNext/>
        <w:spacing w:after="70" w:before="320"/>
      </w:pPr>
      <w:r>
        <w:rPr>
          <w:rFonts w:ascii="Calibri" w:cs="Calibri" w:eastAsia="Calibri" w:hAnsi="Calibri"/>
          <w:b/>
          <w:bCs/>
          <w:color w:val="7A7871"/>
          <w:sz w:val="24"/>
          <w:szCs w:val="24"/>
        </w:rPr>
        <w:t xml:space="preserve">7.  </w:t>
      </w:r>
      <w:r>
        <w:rPr>
          <w:rFonts w:ascii="Calibri" w:cs="Calibri" w:eastAsia="Calibri" w:hAnsi="Calibri"/>
          <w:b/>
          <w:bCs/>
          <w:color w:val="1A1A19"/>
          <w:sz w:val="24"/>
          <w:szCs w:val="24"/>
        </w:rPr>
        <w:t xml:space="preserve">Broker-of-record drift</w:t>
      </w:r>
    </w:p>
    <w:p>
      <w:pPr>
        <w:keepNext/>
        <w:spacing w:after="110"/>
      </w:pPr>
      <w:r>
        <w:rPr>
          <w:rFonts w:ascii="Calibri" w:cs="Calibri" w:eastAsia="Calibri" w:hAnsi="Calibri"/>
          <w:b/>
          <w:bCs/>
          <w:color w:val="B8451F"/>
          <w:spacing w:val="24"/>
          <w:sz w:val="15"/>
          <w:szCs w:val="15"/>
        </w:rPr>
        <w:t xml:space="preserve">NEW</w:t>
      </w:r>
    </w:p>
    <w:p>
      <w:pPr>
        <w:spacing w:after="130" w:line="288"/>
      </w:pPr>
      <w:r>
        <w:rPr>
          <w:rFonts w:ascii="Calibri" w:cs="Calibri" w:eastAsia="Calibri" w:hAnsi="Calibri"/>
          <w:color w:val="52514E"/>
          <w:sz w:val="21"/>
          <w:szCs w:val="21"/>
        </w:rPr>
        <w:t xml:space="preserve">A member or contact naming a broker who is not the group's broker of record. A flag on the account rather than a screen of its own, because it is rare — but near a renewal it is worth a phone call.</w:t>
      </w:r>
    </w:p>
    <w:p>
      <w:pPr>
        <w:pBdr>
          <w:left w:val="single" w:color="B8451F" w:sz="12" w:space="10"/>
        </w:pBdr>
        <w:spacing w:after="200" w:line="276"/>
        <w:ind w:left="230"/>
      </w:pPr>
      <w:r>
        <w:rPr>
          <w:rFonts w:ascii="Calibri" w:cs="Calibri" w:eastAsia="Calibri" w:hAnsi="Calibri"/>
          <w:i/>
          <w:iCs/>
          <w:color w:val="1A1A19"/>
          <w:sz w:val="19"/>
          <w:szCs w:val="19"/>
        </w:rPr>
        <w:t xml:space="preserve">Neither build does this, and the Account Signals data already contains everything needed: every call carries both the named broker and the account's broker of record.</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b/>
          <w:bCs/>
          <w:color w:val="B8451F"/>
          <w:spacing w:val="24"/>
          <w:sz w:val="15"/>
          <w:szCs w:val="15"/>
        </w:rPr>
        <w:t xml:space="preserve">EXAMPLE</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color w:val="52514E"/>
          <w:sz w:val="20"/>
          <w:szCs w:val="20"/>
        </w:rPr>
        <w:t xml:space="preserve">An HR contact mentions in passing that they have asked “Rebecca” about mid-year additions. Rebecca is not the broker on the account. Either somebody is pitching for the book, or nobody is servicing it.</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6 of 100 calls name a broker aloud; 0 of those 6 disagree with the broker of record (AS)</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Zero today is a real finding, not an empty panel — it says nothing is drifting in this batch</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8.  </w:t>
      </w:r>
      <w:r>
        <w:rPr>
          <w:rFonts w:ascii="Calibri" w:cs="Calibri" w:eastAsia="Calibri" w:hAnsi="Calibri"/>
          <w:b/>
          <w:bCs/>
          <w:color w:val="1A1A19"/>
          <w:sz w:val="24"/>
          <w:szCs w:val="24"/>
        </w:rPr>
        <w:t xml:space="preserve">Account facts that raise the stakes</w:t>
      </w:r>
    </w:p>
    <w:p>
      <w:pPr>
        <w:keepNext/>
        <w:spacing w:after="110"/>
      </w:pPr>
      <w:r>
        <w:rPr>
          <w:rFonts w:ascii="Calibri" w:cs="Calibri" w:eastAsia="Calibri" w:hAnsi="Calibri"/>
          <w:b/>
          <w:bCs/>
          <w:color w:val="3E3192"/>
          <w:spacing w:val="24"/>
          <w:sz w:val="15"/>
          <w:szCs w:val="15"/>
        </w:rPr>
        <w:t xml:space="preserve">ACCOUNT SIGNALS</w:t>
      </w:r>
    </w:p>
    <w:p>
      <w:pPr>
        <w:spacing w:after="130" w:line="288"/>
      </w:pPr>
      <w:r>
        <w:rPr>
          <w:rFonts w:ascii="Calibri" w:cs="Calibri" w:eastAsia="Calibri" w:hAnsi="Calibri"/>
          <w:color w:val="52514E"/>
          <w:sz w:val="21"/>
          <w:szCs w:val="21"/>
        </w:rPr>
        <w:t xml:space="preserve">The structural facts that decide how much a problem costs: participation rate, admin fee band, COBRA regime, whether dental is employer-sponsored or voluntary, lines held, renewal month. None of them is an observation about the calls; all of them change what a flagged account is worth.</w:t>
      </w:r>
    </w:p>
    <w:p>
      <w:pPr>
        <w:pBdr>
          <w:left w:val="single" w:color="3E3192" w:sz="12" w:space="10"/>
        </w:pBdr>
        <w:spacing w:after="200" w:line="276"/>
        <w:ind w:left="230"/>
      </w:pPr>
      <w:r>
        <w:rPr>
          <w:rFonts w:ascii="Calibri" w:cs="Calibri" w:eastAsia="Calibri" w:hAnsi="Calibri"/>
          <w:i/>
          <w:iCs/>
          <w:color w:val="1A1A19"/>
          <w:sz w:val="19"/>
          <w:szCs w:val="19"/>
        </w:rPr>
        <w:t xml:space="preserve">Account Signals only. The attribution build ranked accounts purely on call behaviour and missed this entirely.</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3E3192"/>
          <w:spacing w:val="24"/>
          <w:sz w:val="15"/>
          <w:szCs w:val="15"/>
        </w:rPr>
        <w:t xml:space="preserve">EXAMPLE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color w:val="52514E"/>
          <w:sz w:val="20"/>
          <w:szCs w:val="20"/>
        </w:rPr>
        <w:t xml:space="preserve">Two accounts raise the same three conditions. One is a 40-life group at 47% participation on a voluntary line. The other is a 450-life employer-sponsored group renewing in six weeks. The call evidence is identical and the two are not remotely the same problem.</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Twelve account facts shown beside the indicators, chipped as reference rather than observed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Participation, fee band and COBRA regime are derived from headcount and rule P-33 — the workbook stores them as formulas with no cached value (AS)</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9.  </w:t>
      </w:r>
      <w:r>
        <w:rPr>
          <w:rFonts w:ascii="Calibri" w:cs="Calibri" w:eastAsia="Calibri" w:hAnsi="Calibri"/>
          <w:b/>
          <w:bCs/>
          <w:color w:val="1A1A19"/>
          <w:sz w:val="24"/>
          <w:szCs w:val="24"/>
        </w:rPr>
        <w:t xml:space="preserve">Band calibration against renewal outcomes</w:t>
      </w:r>
    </w:p>
    <w:p>
      <w:pPr>
        <w:keepNext/>
        <w:spacing w:after="110"/>
      </w:pPr>
      <w:r>
        <w:rPr>
          <w:rFonts w:ascii="Calibri" w:cs="Calibri" w:eastAsia="Calibri" w:hAnsi="Calibri"/>
          <w:b/>
          <w:bCs/>
          <w:color w:val="1C5CAB"/>
          <w:spacing w:val="24"/>
          <w:sz w:val="15"/>
          <w:szCs w:val="15"/>
        </w:rPr>
        <w:t xml:space="preserve">ATTRIBUTION PROTOTYPE</w:t>
      </w:r>
      <w:r>
        <w:rPr>
          <w:rFonts w:ascii="Calibri" w:cs="Calibri" w:eastAsia="Calibri" w:hAnsi="Calibri"/>
          <w:sz w:val="15"/>
          <w:szCs w:val="15"/>
        </w:rPr>
        <w:t xml:space="preserve">      </w:t>
      </w:r>
      <w:r>
        <w:rPr>
          <w:rFonts w:ascii="Calibri" w:cs="Calibri" w:eastAsia="Calibri" w:hAnsi="Calibri"/>
          <w:b/>
          <w:bCs/>
          <w:color w:val="B8451F"/>
          <w:spacing w:val="24"/>
          <w:sz w:val="15"/>
          <w:szCs w:val="15"/>
        </w:rPr>
        <w:t xml:space="preserve">NEEDS DATA WE DO NOT HAVE</w:t>
      </w:r>
    </w:p>
    <w:p>
      <w:pPr>
        <w:spacing w:after="200" w:line="288"/>
      </w:pPr>
      <w:r>
        <w:rPr>
          <w:rFonts w:ascii="Calibri" w:cs="Calibri" w:eastAsia="Calibri" w:hAnsi="Calibri"/>
          <w:color w:val="52514E"/>
          <w:sz w:val="21"/>
          <w:szCs w:val="21"/>
        </w:rPr>
        <w:t xml:space="preserve">The honest test. Take the band each group would have been given a year ago, then look at whether it renewed. Everything else on the screen is decoration if this chart is flat. The note beneath it is computed rather than written, so it names whichever part of the scale is failing without anyone choosing to disclose it.</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b/>
          <w:bCs/>
          <w:color w:val="B8451F"/>
          <w:spacing w:val="24"/>
          <w:sz w:val="15"/>
          <w:szCs w:val="15"/>
        </w:rPr>
        <w:t xml:space="preserve">EXAMPLE</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color w:val="52514E"/>
          <w:sz w:val="20"/>
          <w:szCs w:val="20"/>
        </w:rPr>
        <w:t xml:space="preserve">A risk score nobody has checked against outcomes is an opinion with a number attached. The first question any sceptical stakeholder asks is whether it predicts anything, and the answer should already be on the screen.</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None 0%, Watch 13%, Elevated 21%, High 25%, against a book average of 13% (AP)</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The computed note currently reports that the High band holds only 8 groups, too few to rely on</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Two caveats, both load-bearing. The corpus carries no termination outcomes, so this cannot be built today at all. And in the attribution prototype's synthetic data a group's band determines its lapse probability, which makes the chart circular by construction — it currently proves nothing. Account Signals guards against exactly this by excluding the design churn profile from its own band.</w:t>
      </w:r>
    </w:p>
    <w:p>
      <w:r>
        <w:br w:type="page"/>
      </w:r>
    </w:p>
    <w:p>
      <w:pPr>
        <w:spacing w:after="60"/>
      </w:pPr>
      <w:r>
        <w:rPr>
          <w:rFonts w:ascii="Calibri" w:cs="Calibri" w:eastAsia="Calibri" w:hAnsi="Calibri"/>
          <w:b/>
          <w:bCs/>
          <w:color w:val="7A7871"/>
          <w:spacing w:val="26"/>
          <w:sz w:val="16"/>
          <w:szCs w:val="16"/>
        </w:rPr>
        <w:t xml:space="preserve">Screen 2 of 7</w:t>
      </w:r>
    </w:p>
    <w:p>
      <w:pPr>
        <w:pStyle w:val="Heading1"/>
        <w:spacing w:after="130"/>
      </w:pPr>
      <w:r>
        <w:rPr>
          <w:rFonts w:ascii="Calibri" w:cs="Calibri" w:eastAsia="Calibri" w:hAnsi="Calibri"/>
          <w:b/>
          <w:bCs/>
          <w:color w:val="1A1A19"/>
          <w:sz w:val="34"/>
          <w:szCs w:val="34"/>
        </w:rPr>
        <w:t xml:space="preserve">Broker and channel</w:t>
      </w:r>
    </w:p>
    <w:p>
      <w:pPr>
        <w:spacing w:after="80"/>
      </w:pPr>
      <w:r>
        <w:rPr>
          <w:rFonts w:ascii="Calibri" w:cs="Calibri" w:eastAsia="Calibri" w:hAnsi="Calibri"/>
          <w:i/>
          <w:iCs/>
          <w:color w:val="1C5CAB"/>
          <w:sz w:val="23"/>
          <w:szCs w:val="23"/>
        </w:rPr>
        <w:t xml:space="preserve">Which broker relationships need a conversation, and what kind — and is a problem isolated or systemic?</w:t>
      </w:r>
    </w:p>
    <w:p>
      <w:pPr>
        <w:pBdr>
          <w:bottom w:val="single" w:color="D8D7D0" w:sz="6" w:space="12"/>
        </w:pBdr>
        <w:spacing w:after="180"/>
      </w:pPr>
      <w:r>
        <w:rPr>
          <w:rFonts w:ascii="Calibri" w:cs="Calibri" w:eastAsia="Calibri" w:hAnsi="Calibri"/>
          <w:color w:val="7A7871"/>
          <w:sz w:val="18"/>
          <w:szCs w:val="18"/>
        </w:rPr>
        <w:t xml:space="preserve">Opened by: Channel lead, before a broker or regional review</w:t>
      </w:r>
    </w:p>
    <w:p>
      <w:pPr>
        <w:spacing w:after="260" w:before="160" w:line="288"/>
      </w:pPr>
      <w:r>
        <w:rPr>
          <w:rFonts w:ascii="Calibri" w:cs="Calibri" w:eastAsia="Calibri" w:hAnsi="Calibri"/>
          <w:color w:val="52514E"/>
          <w:sz w:val="21"/>
          <w:szCs w:val="21"/>
        </w:rPr>
        <w:t xml:space="preserve">The general agency's customer is the broker, and a broker leaving takes thirty groups at once. This screen measures the load each book generates, splits it by cause, and then lets the same evidence be read at region, broker and account level so one bad account can be told apart from one bad book.</w:t>
      </w:r>
    </w:p>
    <w:p>
      <w:pPr>
        <w:pStyle w:val="Heading2"/>
        <w:keepNext/>
        <w:spacing w:after="70" w:before="320"/>
      </w:pPr>
      <w:r>
        <w:rPr>
          <w:rFonts w:ascii="Calibri" w:cs="Calibri" w:eastAsia="Calibri" w:hAnsi="Calibri"/>
          <w:b/>
          <w:bCs/>
          <w:color w:val="7A7871"/>
          <w:sz w:val="24"/>
          <w:szCs w:val="24"/>
        </w:rPr>
        <w:t xml:space="preserve">10.  </w:t>
      </w:r>
      <w:r>
        <w:rPr>
          <w:rFonts w:ascii="Calibri" w:cs="Calibri" w:eastAsia="Calibri" w:hAnsi="Calibri"/>
          <w:b/>
          <w:bCs/>
          <w:color w:val="1A1A19"/>
          <w:sz w:val="24"/>
          <w:szCs w:val="24"/>
        </w:rPr>
        <w:t xml:space="preserve">Broker book friction, split by cause</w:t>
      </w:r>
    </w:p>
    <w:p>
      <w:pPr>
        <w:keepNext/>
        <w:spacing w:after="110"/>
      </w:pPr>
      <w:r>
        <w:rPr>
          <w:rFonts w:ascii="Calibri" w:cs="Calibri" w:eastAsia="Calibri" w:hAnsi="Calibri"/>
          <w:b/>
          <w:bCs/>
          <w:color w:val="046604"/>
          <w:spacing w:val="24"/>
          <w:sz w:val="15"/>
          <w:szCs w:val="15"/>
        </w:rPr>
        <w:t xml:space="preserve">MERGED</w:t>
      </w:r>
    </w:p>
    <w:p>
      <w:pPr>
        <w:spacing w:after="130" w:line="288"/>
      </w:pPr>
      <w:r>
        <w:rPr>
          <w:rFonts w:ascii="Calibri" w:cs="Calibri" w:eastAsia="Calibri" w:hAnsi="Calibri"/>
          <w:color w:val="52514E"/>
          <w:sz w:val="21"/>
          <w:szCs w:val="21"/>
        </w:rPr>
        <w:t xml:space="preserve">Service load per book, split by who the calls were attributed to. The length and the colour have to be read together — a busy book and a badly-sold book are indistinguishable until you split them.</w:t>
      </w:r>
    </w:p>
    <w:p>
      <w:pPr>
        <w:pBdr>
          <w:left w:val="single" w:color="046604" w:sz="12" w:space="10"/>
        </w:pBdr>
        <w:spacing w:after="200" w:line="276"/>
        <w:ind w:left="230"/>
      </w:pPr>
      <w:r>
        <w:rPr>
          <w:rFonts w:ascii="Calibri" w:cs="Calibri" w:eastAsia="Calibri" w:hAnsi="Calibri"/>
          <w:i/>
          <w:iCs/>
          <w:color w:val="1A1A19"/>
          <w:sz w:val="19"/>
          <w:szCs w:val="19"/>
        </w:rPr>
        <w:t xml:space="preserve">Merged, and the merge changed the design. Account Signals refuses per-broker rates on principle; the attribution build ranked eighteen books on one. The combined version leads with counts and carries the rate as a secondary column.</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b/>
          <w:bCs/>
          <w:color w:val="046604"/>
          <w:spacing w:val="24"/>
          <w:sz w:val="15"/>
          <w:szCs w:val="15"/>
        </w:rPr>
        <w:t xml:space="preserve">EXAMPLE</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color w:val="52514E"/>
          <w:sz w:val="20"/>
          <w:szCs w:val="20"/>
        </w:rPr>
        <w:t xml:space="preserve">The broker generating the most work is, on inspection, the broker whose groups keep receiving badly written letters from us. A ranking by volume alone would have started a difficult conversation with someone who has done nothing wrong.</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Busiest book: 38.3 calls per 100 lives, of which 39% attributed to us and 10% to them (AP)</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A different book sits 13th on volume but is 45% broker-attributed, the highest share in the book (AP)</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Counts lead; rates are shown but not ranked on, below 150 covered lives nothing is ranked at all</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The v9 README is explicit that a three-group broker carries about ten attributed calls, which “names a list credibly but does not support ‘8.5 times the median’ as a spoken number”. At 600 calls a broker averages twenty. Treat the rate as a sorting aid, not a quotable figure.</w:t>
      </w:r>
    </w:p>
    <w:p>
      <w:pPr>
        <w:pStyle w:val="Heading2"/>
        <w:keepNext/>
        <w:spacing w:after="70" w:before="320"/>
      </w:pPr>
      <w:r>
        <w:rPr>
          <w:rFonts w:ascii="Calibri" w:cs="Calibri" w:eastAsia="Calibri" w:hAnsi="Calibri"/>
          <w:b/>
          <w:bCs/>
          <w:color w:val="7A7871"/>
          <w:sz w:val="24"/>
          <w:szCs w:val="24"/>
        </w:rPr>
        <w:t xml:space="preserve">11.  </w:t>
      </w:r>
      <w:r>
        <w:rPr>
          <w:rFonts w:ascii="Calibri" w:cs="Calibri" w:eastAsia="Calibri" w:hAnsi="Calibri"/>
          <w:b/>
          <w:bCs/>
          <w:color w:val="1A1A19"/>
          <w:sz w:val="24"/>
          <w:szCs w:val="24"/>
        </w:rPr>
        <w:t xml:space="preserve">Enrolment promise gap</w:t>
      </w:r>
    </w:p>
    <w:p>
      <w:pPr>
        <w:keepNext/>
        <w:spacing w:after="110"/>
      </w:pPr>
      <w:r>
        <w:rPr>
          <w:rFonts w:ascii="Calibri" w:cs="Calibri" w:eastAsia="Calibri" w:hAnsi="Calibri"/>
          <w:b/>
          <w:bCs/>
          <w:color w:val="1C5CAB"/>
          <w:spacing w:val="24"/>
          <w:sz w:val="15"/>
          <w:szCs w:val="15"/>
        </w:rPr>
        <w:t xml:space="preserve">ATTRIBUTION PROTOTYPE</w:t>
      </w:r>
    </w:p>
    <w:p>
      <w:pPr>
        <w:spacing w:after="200" w:line="288"/>
      </w:pPr>
      <w:r>
        <w:rPr>
          <w:rFonts w:ascii="Calibri" w:cs="Calibri" w:eastAsia="Calibri" w:hAnsi="Calibri"/>
          <w:color w:val="52514E"/>
          <w:sz w:val="21"/>
          <w:szCs w:val="21"/>
        </w:rPr>
        <w:t xml:space="preserve">A single fault type: members told something at enrolment that turns out not to be true. For a choice-based exchange this is the defining failure mode, because the product is a menu and menus get mis-explained. It is also the cheapest thing on this list to fix.</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1C5CAB"/>
          <w:spacing w:val="24"/>
          <w:sz w:val="15"/>
          <w:szCs w:val="15"/>
        </w:rPr>
        <w:t xml:space="preserve">EXAMPLE</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color w:val="52514E"/>
          <w:sz w:val="20"/>
          <w:szCs w:val="20"/>
        </w:rPr>
        <w:t xml:space="preserve">“Nobody told me that. I asked at sign-up whether I was covered and they said yes.” He had a crown fitted on the strength of it and is eleven hundred dollars out of pocket. The waiting period was correct, written down and entirely real. The conversation in the room was not.</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Worst book: 11.2 per 100 lives, 82 occurrences across 732 lives; next 8.3, then 6.2 (AP)</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Live corpus has 3 calls tagged at the enrolment meeting touchpoint — the fault type itself does not exist in the v9 schema (AS)</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Framed as an offer rather than a complaint this is the best conversation the channel team can have: “your groups call us three times more than average about waiting periods — shall we join your enrolment meetings?”</w:t>
      </w:r>
    </w:p>
    <w:p>
      <w:pPr>
        <w:pStyle w:val="Heading2"/>
        <w:keepNext/>
        <w:spacing w:after="70" w:before="320"/>
      </w:pPr>
      <w:r>
        <w:rPr>
          <w:rFonts w:ascii="Calibri" w:cs="Calibri" w:eastAsia="Calibri" w:hAnsi="Calibri"/>
          <w:b/>
          <w:bCs/>
          <w:color w:val="7A7871"/>
          <w:sz w:val="24"/>
          <w:szCs w:val="24"/>
        </w:rPr>
        <w:t xml:space="preserve">12.  </w:t>
      </w:r>
      <w:r>
        <w:rPr>
          <w:rFonts w:ascii="Calibri" w:cs="Calibri" w:eastAsia="Calibri" w:hAnsi="Calibri"/>
          <w:b/>
          <w:bCs/>
          <w:color w:val="1A1A19"/>
          <w:sz w:val="24"/>
          <w:szCs w:val="24"/>
        </w:rPr>
        <w:t xml:space="preserve">Quiet-book warning</w:t>
      </w:r>
    </w:p>
    <w:p>
      <w:pPr>
        <w:keepNext/>
        <w:spacing w:after="110"/>
      </w:pPr>
      <w:r>
        <w:rPr>
          <w:rFonts w:ascii="Calibri" w:cs="Calibri" w:eastAsia="Calibri" w:hAnsi="Calibri"/>
          <w:b/>
          <w:bCs/>
          <w:color w:val="1C5CAB"/>
          <w:spacing w:val="24"/>
          <w:sz w:val="15"/>
          <w:szCs w:val="15"/>
        </w:rPr>
        <w:t xml:space="preserve">ATTRIBUTION PROTOTYPE</w:t>
      </w:r>
    </w:p>
    <w:p>
      <w:pPr>
        <w:spacing w:after="200" w:line="288"/>
      </w:pPr>
      <w:r>
        <w:rPr>
          <w:rFonts w:ascii="Calibri" w:cs="Calibri" w:eastAsia="Calibri" w:hAnsi="Calibri"/>
          <w:color w:val="52514E"/>
          <w:sz w:val="21"/>
          <w:szCs w:val="21"/>
        </w:rPr>
        <w:t xml:space="preserve">Unusually low contact, which is the signal nobody builds. A book being shopped elsewhere stops calling, because somebody else is already handling it. Shown as a flag and never as a conclusion.</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1C5CAB"/>
          <w:spacing w:val="24"/>
          <w:sz w:val="15"/>
          <w:szCs w:val="15"/>
        </w:rPr>
        <w:t xml:space="preserve">EXAMPLE</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color w:val="52514E"/>
          <w:sz w:val="20"/>
          <w:szCs w:val="20"/>
        </w:rPr>
        <w:t xml:space="preserve">A book that used to ring regularly has gone almost silent, and its renewals are coming up. That is either a very well-run book or one that has already moved in everything but paperwork.</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One book at 5.1 calls per 100 lives against a median of 30.5 — 83% below (AP)</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Account Signals names the same blind spot from the other side: a broker whose clients never call is invisible to its own broker view (AS)</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13.  </w:t>
      </w:r>
      <w:r>
        <w:rPr>
          <w:rFonts w:ascii="Calibri" w:cs="Calibri" w:eastAsia="Calibri" w:hAnsi="Calibri"/>
          <w:b/>
          <w:bCs/>
          <w:color w:val="1A1A19"/>
          <w:sz w:val="24"/>
          <w:szCs w:val="24"/>
        </w:rPr>
        <w:t xml:space="preserve">Isolated or systemic</w:t>
      </w:r>
    </w:p>
    <w:p>
      <w:pPr>
        <w:keepNext/>
        <w:spacing w:after="110"/>
      </w:pPr>
      <w:r>
        <w:rPr>
          <w:rFonts w:ascii="Calibri" w:cs="Calibri" w:eastAsia="Calibri" w:hAnsi="Calibri"/>
          <w:b/>
          <w:bCs/>
          <w:color w:val="3E3192"/>
          <w:spacing w:val="24"/>
          <w:sz w:val="15"/>
          <w:szCs w:val="15"/>
        </w:rPr>
        <w:t xml:space="preserve">ACCOUNT SIGNALS</w:t>
      </w:r>
    </w:p>
    <w:p>
      <w:pPr>
        <w:spacing w:after="130" w:line="288"/>
      </w:pPr>
      <w:r>
        <w:rPr>
          <w:rFonts w:ascii="Calibri" w:cs="Calibri" w:eastAsia="Calibri" w:hAnsi="Calibri"/>
          <w:color w:val="52514E"/>
          <w:sz w:val="21"/>
          <w:szCs w:val="21"/>
        </w:rPr>
        <w:t xml:space="preserve">The same evidence read at three levels — region, broker, employer — as an expandable tree down to the individual call, plus a region-by-category heatmap. A column dark across every row is a book-wide topic; one dark cell is local.</w:t>
      </w:r>
    </w:p>
    <w:p>
      <w:pPr>
        <w:pBdr>
          <w:left w:val="single" w:color="3E3192" w:sz="12" w:space="10"/>
        </w:pBdr>
        <w:spacing w:after="200" w:line="276"/>
        <w:ind w:left="230"/>
      </w:pPr>
      <w:r>
        <w:rPr>
          <w:rFonts w:ascii="Calibri" w:cs="Calibri" w:eastAsia="Calibri" w:hAnsi="Calibri"/>
          <w:i/>
          <w:iCs/>
          <w:color w:val="1A1A19"/>
          <w:sz w:val="19"/>
          <w:szCs w:val="19"/>
        </w:rPr>
        <w:t xml:space="preserve">Account Signals only, and it is the cleanest answer to the question either build asks.</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3E3192"/>
          <w:spacing w:val="24"/>
          <w:sz w:val="15"/>
          <w:szCs w:val="15"/>
        </w:rPr>
        <w:t xml:space="preserve">EXAMPLE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color w:val="52514E"/>
          <w:sz w:val="20"/>
          <w:szCs w:val="20"/>
        </w:rPr>
        <w:t xml:space="preserve">Three adverse broker mentions look like a pattern until you notice they are three different agencies. The workbook's own threshold is three mentions from two of the same broker's groups, and nothing in batch 1 reaches it — which is the finding.</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6 calls named a broker adversely, spread across separate agencies; no agency reaches the pattern threshold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Region → broker → employer → call, expandable, with the account's band on each branch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Six regions of roughly sixteen employers each (AS)</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14.  </w:t>
      </w:r>
      <w:r>
        <w:rPr>
          <w:rFonts w:ascii="Calibri" w:cs="Calibri" w:eastAsia="Calibri" w:hAnsi="Calibri"/>
          <w:b/>
          <w:bCs/>
          <w:color w:val="1A1A19"/>
          <w:sz w:val="24"/>
          <w:szCs w:val="24"/>
        </w:rPr>
        <w:t xml:space="preserve">Lives at risk by book</w:t>
      </w:r>
    </w:p>
    <w:p>
      <w:pPr>
        <w:keepNext/>
        <w:spacing w:after="110"/>
      </w:pPr>
      <w:r>
        <w:rPr>
          <w:rFonts w:ascii="Calibri" w:cs="Calibri" w:eastAsia="Calibri" w:hAnsi="Calibri"/>
          <w:b/>
          <w:bCs/>
          <w:color w:val="046604"/>
          <w:spacing w:val="24"/>
          <w:sz w:val="15"/>
          <w:szCs w:val="15"/>
        </w:rPr>
        <w:t xml:space="preserve">MERGED</w:t>
      </w:r>
    </w:p>
    <w:p>
      <w:pPr>
        <w:spacing w:after="200" w:line="288"/>
      </w:pPr>
      <w:r>
        <w:rPr>
          <w:rFonts w:ascii="Calibri" w:cs="Calibri" w:eastAsia="Calibri" w:hAnsi="Calibri"/>
          <w:color w:val="52514E"/>
          <w:sz w:val="21"/>
          <w:szCs w:val="21"/>
        </w:rPr>
        <w:t xml:space="preserve">Group-level risk rolled up to the broker and weighted by covered lives. Losing one group is a bad week; losing a broker is a bad quarter, and this is the number that distinguishes them.</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b/>
          <w:bCs/>
          <w:color w:val="046604"/>
          <w:spacing w:val="24"/>
          <w:sz w:val="15"/>
          <w:szCs w:val="15"/>
        </w:rPr>
        <w:t xml:space="preserve">EXAMPLE</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color w:val="52514E"/>
          <w:sz w:val="20"/>
          <w:szCs w:val="20"/>
        </w:rPr>
        <w:t xml:space="preserve">Three separate account managers each notice one unhappy group. Nobody notices that all three sit with the same broker until the broker moves.</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41 groups carrying two or more conditions, holding 4,762 lives across 23 books (AP)</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Book size comes from the Broker Master and never from call counts — deriving the denominator from the numerator would make the rate self-referential (AS)</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r>
        <w:br w:type="page"/>
      </w:r>
    </w:p>
    <w:p>
      <w:pPr>
        <w:spacing w:after="60"/>
      </w:pPr>
      <w:r>
        <w:rPr>
          <w:rFonts w:ascii="Calibri" w:cs="Calibri" w:eastAsia="Calibri" w:hAnsi="Calibri"/>
          <w:b/>
          <w:bCs/>
          <w:color w:val="7A7871"/>
          <w:spacing w:val="26"/>
          <w:sz w:val="16"/>
          <w:szCs w:val="16"/>
        </w:rPr>
        <w:t xml:space="preserve">Screen 3 of 7</w:t>
      </w:r>
    </w:p>
    <w:p>
      <w:pPr>
        <w:pStyle w:val="Heading1"/>
        <w:spacing w:after="130"/>
      </w:pPr>
      <w:r>
        <w:rPr>
          <w:rFonts w:ascii="Calibri" w:cs="Calibri" w:eastAsia="Calibri" w:hAnsi="Calibri"/>
          <w:b/>
          <w:bCs/>
          <w:color w:val="1A1A19"/>
          <w:sz w:val="34"/>
          <w:szCs w:val="34"/>
        </w:rPr>
        <w:t xml:space="preserve">Where calls come from</w:t>
      </w:r>
    </w:p>
    <w:p>
      <w:pPr>
        <w:spacing w:after="80"/>
      </w:pPr>
      <w:r>
        <w:rPr>
          <w:rFonts w:ascii="Calibri" w:cs="Calibri" w:eastAsia="Calibri" w:hAnsi="Calibri"/>
          <w:i/>
          <w:iCs/>
          <w:color w:val="1C5CAB"/>
          <w:sz w:val="23"/>
          <w:szCs w:val="23"/>
        </w:rPr>
        <w:t xml:space="preserve">How much of the work did we create ourselves, where exactly, and what would it be worth to stop?</w:t>
      </w:r>
    </w:p>
    <w:p>
      <w:pPr>
        <w:pBdr>
          <w:bottom w:val="single" w:color="D8D7D0" w:sz="6" w:space="12"/>
        </w:pBdr>
        <w:spacing w:after="180"/>
      </w:pPr>
      <w:r>
        <w:rPr>
          <w:rFonts w:ascii="Calibri" w:cs="Calibri" w:eastAsia="Calibri" w:hAnsi="Calibri"/>
          <w:color w:val="7A7871"/>
          <w:sz w:val="18"/>
          <w:szCs w:val="18"/>
        </w:rPr>
        <w:t xml:space="preserve">Opened by: Service operations, monthly</w:t>
      </w:r>
    </w:p>
    <w:p>
      <w:pPr>
        <w:spacing w:after="260" w:before="160" w:line="288"/>
      </w:pPr>
      <w:r>
        <w:rPr>
          <w:rFonts w:ascii="Calibri" w:cs="Calibri" w:eastAsia="Calibri" w:hAnsi="Calibri"/>
          <w:color w:val="52514E"/>
          <w:sz w:val="21"/>
          <w:szCs w:val="21"/>
        </w:rPr>
        <w:t xml:space="preserve">The uncomfortable screen, and the only one measuring a cost Word &amp; Brown controls outright. A system that applies the same rule to its owner's documents as to a broker's is one a broker will accept being measured by.</w:t>
      </w:r>
    </w:p>
    <w:p>
      <w:pPr>
        <w:pStyle w:val="Heading2"/>
        <w:keepNext/>
        <w:spacing w:after="70" w:before="320"/>
      </w:pPr>
      <w:r>
        <w:rPr>
          <w:rFonts w:ascii="Calibri" w:cs="Calibri" w:eastAsia="Calibri" w:hAnsi="Calibri"/>
          <w:b/>
          <w:bCs/>
          <w:color w:val="7A7871"/>
          <w:sz w:val="24"/>
          <w:szCs w:val="24"/>
        </w:rPr>
        <w:t xml:space="preserve">15.  </w:t>
      </w:r>
      <w:r>
        <w:rPr>
          <w:rFonts w:ascii="Calibri" w:cs="Calibri" w:eastAsia="Calibri" w:hAnsi="Calibri"/>
          <w:b/>
          <w:bCs/>
          <w:color w:val="1A1A19"/>
          <w:sz w:val="24"/>
          <w:szCs w:val="24"/>
        </w:rPr>
        <w:t xml:space="preserve">Self-inflicted demand, costed</w:t>
      </w:r>
    </w:p>
    <w:p>
      <w:pPr>
        <w:keepNext/>
        <w:spacing w:after="110"/>
      </w:pPr>
      <w:r>
        <w:rPr>
          <w:rFonts w:ascii="Calibri" w:cs="Calibri" w:eastAsia="Calibri" w:hAnsi="Calibri"/>
          <w:b/>
          <w:bCs/>
          <w:color w:val="046604"/>
          <w:spacing w:val="24"/>
          <w:sz w:val="15"/>
          <w:szCs w:val="15"/>
        </w:rPr>
        <w:t xml:space="preserve">MERGED</w:t>
      </w:r>
      <w:r>
        <w:rPr>
          <w:rFonts w:ascii="Calibri" w:cs="Calibri" w:eastAsia="Calibri" w:hAnsi="Calibri"/>
          <w:sz w:val="15"/>
          <w:szCs w:val="15"/>
        </w:rPr>
        <w:t xml:space="preserve">      </w:t>
      </w:r>
      <w:r>
        <w:rPr>
          <w:rFonts w:ascii="Calibri" w:cs="Calibri" w:eastAsia="Calibri" w:hAnsi="Calibri"/>
          <w:b/>
          <w:bCs/>
          <w:color w:val="B8451F"/>
          <w:spacing w:val="24"/>
          <w:sz w:val="15"/>
          <w:szCs w:val="15"/>
        </w:rPr>
        <w:t xml:space="preserve">NEEDS DATA WE DO NOT HAVE</w:t>
      </w:r>
    </w:p>
    <w:p>
      <w:pPr>
        <w:spacing w:after="130" w:line="288"/>
      </w:pPr>
      <w:r>
        <w:rPr>
          <w:rFonts w:ascii="Calibri" w:cs="Calibri" w:eastAsia="Calibri" w:hAnsi="Calibri"/>
          <w:color w:val="52514E"/>
          <w:sz w:val="21"/>
          <w:szCs w:val="21"/>
        </w:rPr>
        <w:t xml:space="preserve">The share of fault records pointing at our own document, portal, billing run or agent, multiplied by a cost per call. The volume is solid; the money depends on an assumption finance owns, so it is labelled as an assumption wherever it appears.</w:t>
      </w:r>
    </w:p>
    <w:p>
      <w:pPr>
        <w:pBdr>
          <w:left w:val="single" w:color="046604" w:sz="12" w:space="10"/>
        </w:pBdr>
        <w:spacing w:after="200" w:line="276"/>
        <w:ind w:left="230"/>
      </w:pPr>
      <w:r>
        <w:rPr>
          <w:rFonts w:ascii="Calibri" w:cs="Calibri" w:eastAsia="Calibri" w:hAnsi="Calibri"/>
          <w:i/>
          <w:iCs/>
          <w:color w:val="1A1A19"/>
          <w:sz w:val="19"/>
          <w:szCs w:val="19"/>
        </w:rPr>
        <w:t xml:space="preserve">Account Signals records complaints attributed to us; the attribution build adds the touchpoint ownership and the costing.</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b/>
          <w:bCs/>
          <w:color w:val="B8451F"/>
          <w:spacing w:val="24"/>
          <w:sz w:val="15"/>
          <w:szCs w:val="15"/>
        </w:rPr>
        <w:t xml:space="preserve">EXAMPLE</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color w:val="52514E"/>
          <w:sz w:val="20"/>
          <w:szCs w:val="20"/>
        </w:rPr>
        <w:t xml:space="preserve">A person doing this analysis by hand can be leaned on, and the number softens as it moves up the building. A system applying a fixed rule does not soften. That is the point of building it — not to assign blame, but to make the finding survive the room it is presented in.</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34 of 100 calls carry a complaint attributed to us — the single largest attribution in the live corpus (AS)</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29% of fault records and 678 calls in the synthetic year, about $15,900 at an assumed $23.50 per call (AP)</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Scaled illustratively to a 30,000-group book that is on the order of $5M a year, labelled as an extrapolation</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Cost per call is a placeholder. Every money figure on this screen moves with it and nothing else in either prototype depends on it.</w:t>
      </w:r>
    </w:p>
    <w:p>
      <w:pPr>
        <w:pStyle w:val="Heading2"/>
        <w:keepNext/>
        <w:spacing w:after="70" w:before="320"/>
      </w:pPr>
      <w:r>
        <w:rPr>
          <w:rFonts w:ascii="Calibri" w:cs="Calibri" w:eastAsia="Calibri" w:hAnsi="Calibri"/>
          <w:b/>
          <w:bCs/>
          <w:color w:val="7A7871"/>
          <w:sz w:val="24"/>
          <w:szCs w:val="24"/>
        </w:rPr>
        <w:t xml:space="preserve">16.  </w:t>
      </w:r>
      <w:r>
        <w:rPr>
          <w:rFonts w:ascii="Calibri" w:cs="Calibri" w:eastAsia="Calibri" w:hAnsi="Calibri"/>
          <w:b/>
          <w:bCs/>
          <w:color w:val="1A1A19"/>
          <w:sz w:val="24"/>
          <w:szCs w:val="24"/>
        </w:rPr>
        <w:t xml:space="preserve">Touchpoint defect ranking</w:t>
      </w:r>
    </w:p>
    <w:p>
      <w:pPr>
        <w:keepNext/>
        <w:spacing w:after="110"/>
      </w:pPr>
      <w:r>
        <w:rPr>
          <w:rFonts w:ascii="Calibri" w:cs="Calibri" w:eastAsia="Calibri" w:hAnsi="Calibri"/>
          <w:b/>
          <w:bCs/>
          <w:color w:val="046604"/>
          <w:spacing w:val="24"/>
          <w:sz w:val="15"/>
          <w:szCs w:val="15"/>
        </w:rPr>
        <w:t xml:space="preserve">MERGED</w:t>
      </w:r>
    </w:p>
    <w:p>
      <w:pPr>
        <w:spacing w:after="200" w:line="288"/>
      </w:pPr>
      <w:r>
        <w:rPr>
          <w:rFonts w:ascii="Calibri" w:cs="Calibri" w:eastAsia="Calibri" w:hAnsi="Calibri"/>
          <w:color w:val="52514E"/>
          <w:sz w:val="21"/>
          <w:szCs w:val="21"/>
        </w:rPr>
        <w:t xml:space="preserve">The twelve touchpoints ordered by how much work each generates, each coloured by the party that owns most of the faults raised there. Turns “we get a lot of claims calls” into “this specific letter generated N of them and Claims Ops owns it”.</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b/>
          <w:bCs/>
          <w:color w:val="046604"/>
          <w:spacing w:val="24"/>
          <w:sz w:val="15"/>
          <w:szCs w:val="15"/>
        </w:rPr>
        <w:t xml:space="preserve">EXAMPLE</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color w:val="52514E"/>
          <w:sz w:val="20"/>
          <w:szCs w:val="20"/>
        </w:rPr>
        <w:t xml:space="preserve">Nobody set out to build a document that generates work. The denial notice has probably read the same way for a decade, and until the calls were tied back to it there was no reason to think about it.</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Live corpus: agent conversation 33, invoice/statement 12, employer portal 6, renewal pack 6, denial letter 5, and 19 calls with no upstream artefact at fault (AS)</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Synthetic year: denial letter 528, enrolment meeting 388, welcome pack 359 (AP)</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Owner comes from the workbook's Touchpoints sheet, not from us</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The two shapes disagree sharply and the live one should be believed. Batch 1 puts a third of its calls at “agent conversation”, which is the touchpoint of last resort — worth asking whether the tagging is defaulting there.</w:t>
      </w:r>
    </w:p>
    <w:p>
      <w:pPr>
        <w:pStyle w:val="Heading2"/>
        <w:keepNext/>
        <w:spacing w:after="70" w:before="320"/>
      </w:pPr>
      <w:r>
        <w:rPr>
          <w:rFonts w:ascii="Calibri" w:cs="Calibri" w:eastAsia="Calibri" w:hAnsi="Calibri"/>
          <w:b/>
          <w:bCs/>
          <w:color w:val="7A7871"/>
          <w:sz w:val="24"/>
          <w:szCs w:val="24"/>
        </w:rPr>
        <w:t xml:space="preserve">17.  </w:t>
      </w:r>
      <w:r>
        <w:rPr>
          <w:rFonts w:ascii="Calibri" w:cs="Calibri" w:eastAsia="Calibri" w:hAnsi="Calibri"/>
          <w:b/>
          <w:bCs/>
          <w:color w:val="1A1A19"/>
          <w:sz w:val="24"/>
          <w:szCs w:val="24"/>
        </w:rPr>
        <w:t xml:space="preserve">Proximate cause against root cause</w:t>
      </w:r>
    </w:p>
    <w:p>
      <w:pPr>
        <w:keepNext/>
        <w:spacing w:after="110"/>
      </w:pPr>
      <w:r>
        <w:rPr>
          <w:rFonts w:ascii="Calibri" w:cs="Calibri" w:eastAsia="Calibri" w:hAnsi="Calibri"/>
          <w:b/>
          <w:bCs/>
          <w:color w:val="1C5CAB"/>
          <w:spacing w:val="24"/>
          <w:sz w:val="15"/>
          <w:szCs w:val="15"/>
        </w:rPr>
        <w:t xml:space="preserve">ATTRIBUTION PROTOTYPE</w:t>
      </w:r>
    </w:p>
    <w:p>
      <w:pPr>
        <w:spacing w:after="200" w:line="288"/>
      </w:pPr>
      <w:r>
        <w:rPr>
          <w:rFonts w:ascii="Calibri" w:cs="Calibri" w:eastAsia="Calibri" w:hAnsi="Calibri"/>
          <w:color w:val="52514E"/>
          <w:sz w:val="21"/>
          <w:szCs w:val="21"/>
        </w:rPr>
        <w:t xml:space="preserve">What made someone pick up the phone, versus what set the problem up weeks earlier. Two records on one call, because the cheap fix and the expensive lesson are almost never owned by the same team.</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1C5CAB"/>
          <w:spacing w:val="24"/>
          <w:sz w:val="15"/>
          <w:szCs w:val="15"/>
        </w:rPr>
        <w:t xml:space="preserve">EXAMPLE</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color w:val="52514E"/>
          <w:sz w:val="20"/>
          <w:szCs w:val="20"/>
        </w:rPr>
        <w:t xml:space="preserve">The denial letter is why he rang today. The enrolment meeting is why there was a denied claim to write about. Fix the letter and the next member gets a comprehensible refusal. Fix the enrolment meeting and there is no claim to refuse.</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255 of 2,447 records are root causes rather than the reason the phone rang (AP)</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The party split is shown twice, once for each role, and they do not look alike</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Account Signals carries one touchpoint and one complaint target per call, so it can hold the proximate cause but not the root. This is the main schema change the attribution model asks for.</w:t>
      </w:r>
    </w:p>
    <w:p>
      <w:pPr>
        <w:pStyle w:val="Heading2"/>
        <w:keepNext/>
        <w:spacing w:after="70" w:before="320"/>
      </w:pPr>
      <w:r>
        <w:rPr>
          <w:rFonts w:ascii="Calibri" w:cs="Calibri" w:eastAsia="Calibri" w:hAnsi="Calibri"/>
          <w:b/>
          <w:bCs/>
          <w:color w:val="7A7871"/>
          <w:sz w:val="24"/>
          <w:szCs w:val="24"/>
        </w:rPr>
        <w:t xml:space="preserve">18.  </w:t>
      </w:r>
      <w:r>
        <w:rPr>
          <w:rFonts w:ascii="Calibri" w:cs="Calibri" w:eastAsia="Calibri" w:hAnsi="Calibri"/>
          <w:b/>
          <w:bCs/>
          <w:color w:val="1A1A19"/>
          <w:sz w:val="24"/>
          <w:szCs w:val="24"/>
        </w:rPr>
        <w:t xml:space="preserve">The unattributed bucket</w:t>
      </w:r>
    </w:p>
    <w:p>
      <w:pPr>
        <w:keepNext/>
        <w:spacing w:after="110"/>
      </w:pPr>
      <w:r>
        <w:rPr>
          <w:rFonts w:ascii="Calibri" w:cs="Calibri" w:eastAsia="Calibri" w:hAnsi="Calibri"/>
          <w:b/>
          <w:bCs/>
          <w:color w:val="1C5CAB"/>
          <w:spacing w:val="24"/>
          <w:sz w:val="15"/>
          <w:szCs w:val="15"/>
        </w:rPr>
        <w:t xml:space="preserve">ATTRIBUTION PROTOTYPE</w:t>
      </w:r>
    </w:p>
    <w:p>
      <w:pPr>
        <w:spacing w:after="200" w:line="288"/>
      </w:pPr>
      <w:r>
        <w:rPr>
          <w:rFonts w:ascii="Calibri" w:cs="Calibri" w:eastAsia="Calibri" w:hAnsi="Calibri"/>
          <w:color w:val="52514E"/>
          <w:sz w:val="21"/>
          <w:szCs w:val="21"/>
        </w:rPr>
        <w:t xml:space="preserve">Calls where the transcript never establishes who sent the letter, made the promise or handled the claim. Held separately and never assigned to whoever looks likeliest. A visible “we cannot tell” is more credible than a clean chart, and it doubles as a work item.</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1C5CAB"/>
          <w:spacing w:val="24"/>
          <w:sz w:val="15"/>
          <w:szCs w:val="15"/>
        </w:rPr>
        <w:t xml:space="preserve">EXAMPLE</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color w:val="52514E"/>
          <w:sz w:val="20"/>
          <w:szCs w:val="20"/>
        </w:rPr>
        <w:t xml:space="preserve">“Somebody sent it. I couldn't tell you who.” One scripted question from the agent — “do you remember where that came from, was it from us or from your HR team?” — turns a guess into a fact and costs four seconds.</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150 records, 6% of the total, with no established source (AP)</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Distinct from Account Signals' “no upstream artefact at fault”, which means nothing failed rather than we cannot tell</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19.  </w:t>
      </w:r>
      <w:r>
        <w:rPr>
          <w:rFonts w:ascii="Calibri" w:cs="Calibri" w:eastAsia="Calibri" w:hAnsi="Calibri"/>
          <w:b/>
          <w:bCs/>
          <w:color w:val="1A1A19"/>
          <w:sz w:val="24"/>
          <w:szCs w:val="24"/>
        </w:rPr>
        <w:t xml:space="preserve">Compliance exception exposure</w:t>
      </w:r>
    </w:p>
    <w:p>
      <w:pPr>
        <w:keepNext/>
        <w:spacing w:after="110"/>
      </w:pPr>
      <w:r>
        <w:rPr>
          <w:rFonts w:ascii="Calibri" w:cs="Calibri" w:eastAsia="Calibri" w:hAnsi="Calibri"/>
          <w:b/>
          <w:bCs/>
          <w:color w:val="3E3192"/>
          <w:spacing w:val="24"/>
          <w:sz w:val="15"/>
          <w:szCs w:val="15"/>
        </w:rPr>
        <w:t xml:space="preserve">ACCOUNT SIGNALS</w:t>
      </w:r>
    </w:p>
    <w:p>
      <w:pPr>
        <w:spacing w:after="130" w:line="288"/>
      </w:pPr>
      <w:r>
        <w:rPr>
          <w:rFonts w:ascii="Calibri" w:cs="Calibri" w:eastAsia="Calibri" w:hAnsi="Calibri"/>
          <w:color w:val="52514E"/>
          <w:sz w:val="21"/>
          <w:szCs w:val="21"/>
        </w:rPr>
        <w:t xml:space="preserve">Missing recording disclosures, disclosure before verification, missing benefit disclosure — the control exceptions in the v9 tag schema, counted per call and filterable everywhere.</w:t>
      </w:r>
    </w:p>
    <w:p>
      <w:pPr>
        <w:pBdr>
          <w:left w:val="single" w:color="3E3192" w:sz="12" w:space="10"/>
        </w:pBdr>
        <w:spacing w:after="200" w:line="276"/>
        <w:ind w:left="230"/>
      </w:pPr>
      <w:r>
        <w:rPr>
          <w:rFonts w:ascii="Calibri" w:cs="Calibri" w:eastAsia="Calibri" w:hAnsi="Calibri"/>
          <w:i/>
          <w:iCs/>
          <w:color w:val="1A1A19"/>
          <w:sz w:val="19"/>
          <w:szCs w:val="19"/>
        </w:rPr>
        <w:t xml:space="preserve">Account Signals has this built. The attribution catalogue listed it as missing data, which was wrong.</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3E3192"/>
          <w:spacing w:val="24"/>
          <w:sz w:val="15"/>
          <w:szCs w:val="15"/>
        </w:rPr>
        <w:t xml:space="preserve">EXAMPLE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color w:val="52514E"/>
          <w:sz w:val="20"/>
          <w:szCs w:val="20"/>
        </w:rPr>
        <w:t xml:space="preserve">One agent skips the recording disclosure on a Tuesday afternoon. It is invisible until the quarter somebody asks for evidence that it never happens.</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7 of 100 calls carry at least one control exception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Feeds the risk band as one of the ten indicator families, and the action centre as a source of items (AS)</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Wants a per-agent and per-week view with a trend, which neither build has yet. As a book-wide rate it is too coarse to act on.</w:t>
      </w:r>
    </w:p>
    <w:p>
      <w:r>
        <w:br w:type="page"/>
      </w:r>
    </w:p>
    <w:p>
      <w:pPr>
        <w:spacing w:after="60"/>
      </w:pPr>
      <w:r>
        <w:rPr>
          <w:rFonts w:ascii="Calibri" w:cs="Calibri" w:eastAsia="Calibri" w:hAnsi="Calibri"/>
          <w:b/>
          <w:bCs/>
          <w:color w:val="7A7871"/>
          <w:spacing w:val="26"/>
          <w:sz w:val="16"/>
          <w:szCs w:val="16"/>
        </w:rPr>
        <w:t xml:space="preserve">Screen 4 of 7</w:t>
      </w:r>
    </w:p>
    <w:p>
      <w:pPr>
        <w:pStyle w:val="Heading1"/>
        <w:spacing w:after="130"/>
      </w:pPr>
      <w:r>
        <w:rPr>
          <w:rFonts w:ascii="Calibri" w:cs="Calibri" w:eastAsia="Calibri" w:hAnsi="Calibri"/>
          <w:b/>
          <w:bCs/>
          <w:color w:val="1A1A19"/>
          <w:sz w:val="34"/>
          <w:szCs w:val="34"/>
        </w:rPr>
        <w:t xml:space="preserve">Action centre</w:t>
      </w:r>
    </w:p>
    <w:p>
      <w:pPr>
        <w:spacing w:after="80"/>
      </w:pPr>
      <w:r>
        <w:rPr>
          <w:rFonts w:ascii="Calibri" w:cs="Calibri" w:eastAsia="Calibri" w:hAnsi="Calibri"/>
          <w:i/>
          <w:iCs/>
          <w:color w:val="1C5CAB"/>
          <w:sz w:val="23"/>
          <w:szCs w:val="23"/>
        </w:rPr>
        <w:t xml:space="preserve">What have the calls taught us, who owns it, and did the fix work?</w:t>
      </w:r>
    </w:p>
    <w:p>
      <w:pPr>
        <w:pBdr>
          <w:bottom w:val="single" w:color="D8D7D0" w:sz="6" w:space="12"/>
        </w:pBdr>
        <w:spacing w:after="180"/>
      </w:pPr>
      <w:r>
        <w:rPr>
          <w:rFonts w:ascii="Calibri" w:cs="Calibri" w:eastAsia="Calibri" w:hAnsi="Calibri"/>
          <w:color w:val="7A7871"/>
          <w:sz w:val="18"/>
          <w:szCs w:val="18"/>
        </w:rPr>
        <w:t xml:space="preserve">Opened by: Service operations and the touchpoint owners, weekly</w:t>
      </w:r>
    </w:p>
    <w:p>
      <w:pPr>
        <w:spacing w:after="260" w:before="160" w:line="288"/>
      </w:pPr>
      <w:r>
        <w:rPr>
          <w:rFonts w:ascii="Calibri" w:cs="Calibri" w:eastAsia="Calibri" w:hAnsi="Calibri"/>
          <w:color w:val="52514E"/>
          <w:sz w:val="21"/>
          <w:szCs w:val="21"/>
        </w:rPr>
        <w:t xml:space="preserve">Agents spot the same defect repeatedly and log a suggestion. This is where those become work with an owner, a date and — eventually — a measured outcome. The lifecycle here is the Account Signals board, which is further along than anything the attribution build had.</w:t>
      </w:r>
    </w:p>
    <w:p>
      <w:pPr>
        <w:pStyle w:val="Heading2"/>
        <w:keepNext/>
        <w:spacing w:after="70" w:before="320"/>
      </w:pPr>
      <w:r>
        <w:rPr>
          <w:rFonts w:ascii="Calibri" w:cs="Calibri" w:eastAsia="Calibri" w:hAnsi="Calibri"/>
          <w:b/>
          <w:bCs/>
          <w:color w:val="7A7871"/>
          <w:sz w:val="24"/>
          <w:szCs w:val="24"/>
        </w:rPr>
        <w:t xml:space="preserve">20.  </w:t>
      </w:r>
      <w:r>
        <w:rPr>
          <w:rFonts w:ascii="Calibri" w:cs="Calibri" w:eastAsia="Calibri" w:hAnsi="Calibri"/>
          <w:b/>
          <w:bCs/>
          <w:color w:val="1A1A19"/>
          <w:sz w:val="24"/>
          <w:szCs w:val="24"/>
        </w:rPr>
        <w:t xml:space="preserve">The action centre</w:t>
      </w:r>
    </w:p>
    <w:p>
      <w:pPr>
        <w:keepNext/>
        <w:spacing w:after="110"/>
      </w:pPr>
      <w:r>
        <w:rPr>
          <w:rFonts w:ascii="Calibri" w:cs="Calibri" w:eastAsia="Calibri" w:hAnsi="Calibri"/>
          <w:b/>
          <w:bCs/>
          <w:color w:val="3E3192"/>
          <w:spacing w:val="24"/>
          <w:sz w:val="15"/>
          <w:szCs w:val="15"/>
        </w:rPr>
        <w:t xml:space="preserve">ACCOUNT SIGNALS</w:t>
      </w:r>
    </w:p>
    <w:p>
      <w:pPr>
        <w:spacing w:after="130" w:line="288"/>
      </w:pPr>
      <w:r>
        <w:rPr>
          <w:rFonts w:ascii="Calibri" w:cs="Calibri" w:eastAsia="Calibri" w:hAnsi="Calibri"/>
          <w:color w:val="52514E"/>
          <w:sz w:val="21"/>
          <w:szCs w:val="21"/>
        </w:rPr>
        <w:t xml:space="preserve">A seven-stage lifecycle from detection to measured outcome — needs action, assigned, in progress, overdue, action taken, monitoring, completed — as a board or a table. Every item traces to the calls that raised it, carries a priority and an owning team, and opens an evidence chain: employer, issue, the calls behind it, the quoted turn.</w:t>
      </w:r>
    </w:p>
    <w:p>
      <w:pPr>
        <w:pBdr>
          <w:left w:val="single" w:color="3E3192" w:sz="12" w:space="10"/>
        </w:pBdr>
        <w:spacing w:after="200" w:line="276"/>
        <w:ind w:left="230"/>
      </w:pPr>
      <w:r>
        <w:rPr>
          <w:rFonts w:ascii="Calibri" w:cs="Calibri" w:eastAsia="Calibri" w:hAnsi="Calibri"/>
          <w:i/>
          <w:iCs/>
          <w:color w:val="1A1A19"/>
          <w:sz w:val="19"/>
          <w:szCs w:val="19"/>
        </w:rPr>
        <w:t xml:space="preserve">Account Signals, and substantially ahead of the attribution build's fix pipeline. Adopted whole.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3E3192"/>
          <w:spacing w:val="24"/>
          <w:sz w:val="15"/>
          <w:szCs w:val="15"/>
        </w:rPr>
        <w:t xml:space="preserve">EXAMPLE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color w:val="52514E"/>
          <w:sz w:val="20"/>
          <w:szCs w:val="20"/>
        </w:rPr>
        <w:t xml:space="preserve">An agent explains the same thing for the fifth time in a week and notes that the letter should say which waiting period applied. Today that observation dies in a call summary. Here it is a tracked item with a name against it and a due date.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25 items raised, all traced to specific calls: 10 open, 6 overdue, 3 in monitoring, 3 completed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An item only reaches the last two stages once a measurement exists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Assignment, dates and outcomes are prototype workflow data — the corpus carries no action records (AS)</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21.  </w:t>
      </w:r>
      <w:r>
        <w:rPr>
          <w:rFonts w:ascii="Calibri" w:cs="Calibri" w:eastAsia="Calibri" w:hAnsi="Calibri"/>
          <w:b/>
          <w:bCs/>
          <w:color w:val="1A1A19"/>
          <w:sz w:val="24"/>
          <w:szCs w:val="24"/>
        </w:rPr>
        <w:t xml:space="preserve">Where the work came from</w:t>
      </w:r>
    </w:p>
    <w:p>
      <w:pPr>
        <w:keepNext/>
        <w:spacing w:after="110"/>
      </w:pPr>
      <w:r>
        <w:rPr>
          <w:rFonts w:ascii="Calibri" w:cs="Calibri" w:eastAsia="Calibri" w:hAnsi="Calibri"/>
          <w:b/>
          <w:bCs/>
          <w:color w:val="3E3192"/>
          <w:spacing w:val="24"/>
          <w:sz w:val="15"/>
          <w:szCs w:val="15"/>
        </w:rPr>
        <w:t xml:space="preserve">ACCOUNT SIGNALS</w:t>
      </w:r>
    </w:p>
    <w:p>
      <w:pPr>
        <w:spacing w:after="200" w:line="288"/>
      </w:pPr>
      <w:r>
        <w:rPr>
          <w:rFonts w:ascii="Calibri" w:cs="Calibri" w:eastAsia="Calibri" w:hAnsi="Calibri"/>
          <w:color w:val="52514E"/>
          <w:sz w:val="21"/>
          <w:szCs w:val="21"/>
        </w:rPr>
        <w:t xml:space="preserve">Every action seeded from a corpus finding rather than a workshop: process-gap proposals, knowledge failures, escalation misses, control exceptions and exit-language calls. The chart is the count of items by the finding that produced them.</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3E3192"/>
          <w:spacing w:val="24"/>
          <w:sz w:val="15"/>
          <w:szCs w:val="15"/>
        </w:rPr>
        <w:t xml:space="preserve">EXAMPLE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color w:val="52514E"/>
          <w:sz w:val="20"/>
          <w:szCs w:val="20"/>
        </w:rPr>
        <w:t xml:space="preserve">The fastest way to tell whether an improvement backlog is real is to ask where each item came from. If the answer is “someone suggested it”, the backlog is a wish list.</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12 process-gap proposals, 11 knowledge failures, 7 control exceptions, 4 escalation misses, 4 exit-language calls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A proposal that cannot be assigned to a named touchpoint owner is sent back rather than parked</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22.  </w:t>
      </w:r>
      <w:r>
        <w:rPr>
          <w:rFonts w:ascii="Calibri" w:cs="Calibri" w:eastAsia="Calibri" w:hAnsi="Calibri"/>
          <w:b/>
          <w:bCs/>
          <w:color w:val="1A1A19"/>
          <w:sz w:val="24"/>
          <w:szCs w:val="24"/>
        </w:rPr>
        <w:t xml:space="preserve">Did-it-work measurement</w:t>
      </w:r>
    </w:p>
    <w:p>
      <w:pPr>
        <w:keepNext/>
        <w:spacing w:after="110"/>
      </w:pPr>
      <w:r>
        <w:rPr>
          <w:rFonts w:ascii="Calibri" w:cs="Calibri" w:eastAsia="Calibri" w:hAnsi="Calibri"/>
          <w:b/>
          <w:bCs/>
          <w:color w:val="046604"/>
          <w:spacing w:val="24"/>
          <w:sz w:val="15"/>
          <w:szCs w:val="15"/>
        </w:rPr>
        <w:t xml:space="preserve">MERGED</w:t>
      </w:r>
      <w:r>
        <w:rPr>
          <w:rFonts w:ascii="Calibri" w:cs="Calibri" w:eastAsia="Calibri" w:hAnsi="Calibri"/>
          <w:sz w:val="15"/>
          <w:szCs w:val="15"/>
        </w:rPr>
        <w:t xml:space="preserve">      </w:t>
      </w:r>
      <w:r>
        <w:rPr>
          <w:rFonts w:ascii="Calibri" w:cs="Calibri" w:eastAsia="Calibri" w:hAnsi="Calibri"/>
          <w:b/>
          <w:bCs/>
          <w:color w:val="B8451F"/>
          <w:spacing w:val="24"/>
          <w:sz w:val="15"/>
          <w:szCs w:val="15"/>
        </w:rPr>
        <w:t xml:space="preserve">NEEDS DATA WE DO NOT HAVE</w:t>
      </w:r>
    </w:p>
    <w:p>
      <w:pPr>
        <w:spacing w:after="200" w:line="288"/>
      </w:pPr>
      <w:r>
        <w:rPr>
          <w:rFonts w:ascii="Calibri" w:cs="Calibri" w:eastAsia="Calibri" w:hAnsi="Calibri"/>
          <w:color w:val="52514E"/>
          <w:sz w:val="21"/>
          <w:szCs w:val="21"/>
        </w:rPr>
        <w:t xml:space="preserve">Because every item is tied to a fault type and a touchpoint, the query that found the problem can be re-run after the fix ships. The measurement is free once the attribution exists — and it is the part almost no operational dashboard has.</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b/>
          <w:bCs/>
          <w:color w:val="B8451F"/>
          <w:spacing w:val="24"/>
          <w:sz w:val="15"/>
          <w:szCs w:val="15"/>
        </w:rPr>
        <w:t xml:space="preserve">EXAMPLE</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color w:val="52514E"/>
          <w:sz w:val="20"/>
          <w:szCs w:val="20"/>
        </w:rPr>
        <w:t xml:space="preserve">A denial notice is rewritten to name the rule applied and the date the restriction ends. Three months later the calls it used to generate have roughly halved. That is the first time anyone has been able to say what a document change was worth.</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Synthetic: 22.6 of these calls a month before the rewrite, 11.0 after — down 51%, roughly 139 calls a year (AP)</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Live: not computable. Measuring an intervention needs a before-and-after window per account, and 85 of 92 accounts have a single call (AS)</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Presented as a before-and-after, never a trial — overall volume moved in the same window and nothing controls for it. It supports “worth doing the next one”, which is all it needs to support.</w:t>
      </w:r>
    </w:p>
    <w:p>
      <w:r>
        <w:br w:type="page"/>
      </w:r>
    </w:p>
    <w:p>
      <w:pPr>
        <w:spacing w:after="60"/>
      </w:pPr>
      <w:r>
        <w:rPr>
          <w:rFonts w:ascii="Calibri" w:cs="Calibri" w:eastAsia="Calibri" w:hAnsi="Calibri"/>
          <w:b/>
          <w:bCs/>
          <w:color w:val="7A7871"/>
          <w:spacing w:val="26"/>
          <w:sz w:val="16"/>
          <w:szCs w:val="16"/>
        </w:rPr>
        <w:t xml:space="preserve">Screen 5 of 7</w:t>
      </w:r>
    </w:p>
    <w:p>
      <w:pPr>
        <w:pStyle w:val="Heading1"/>
        <w:spacing w:after="130"/>
      </w:pPr>
      <w:r>
        <w:rPr>
          <w:rFonts w:ascii="Calibri" w:cs="Calibri" w:eastAsia="Calibri" w:hAnsi="Calibri"/>
          <w:b/>
          <w:bCs/>
          <w:color w:val="1A1A19"/>
          <w:sz w:val="34"/>
          <w:szCs w:val="34"/>
        </w:rPr>
        <w:t xml:space="preserve">Rules, carriers and product</w:t>
      </w:r>
    </w:p>
    <w:p>
      <w:pPr>
        <w:spacing w:after="80"/>
      </w:pPr>
      <w:r>
        <w:rPr>
          <w:rFonts w:ascii="Calibri" w:cs="Calibri" w:eastAsia="Calibri" w:hAnsi="Calibri"/>
          <w:i/>
          <w:iCs/>
          <w:color w:val="1C5CAB"/>
          <w:sz w:val="23"/>
          <w:szCs w:val="23"/>
        </w:rPr>
        <w:t xml:space="preserve">What do we fail to explain, which carriers cost most to service, and which rules can nobody follow?</w:t>
      </w:r>
    </w:p>
    <w:p>
      <w:pPr>
        <w:pBdr>
          <w:bottom w:val="single" w:color="D8D7D0" w:sz="6" w:space="12"/>
        </w:pBdr>
        <w:spacing w:after="180"/>
      </w:pPr>
      <w:r>
        <w:rPr>
          <w:rFonts w:ascii="Calibri" w:cs="Calibri" w:eastAsia="Calibri" w:hAnsi="Calibri"/>
          <w:color w:val="7A7871"/>
          <w:sz w:val="18"/>
          <w:szCs w:val="18"/>
        </w:rPr>
        <w:t xml:space="preserve">Opened by: Carrier relations, product, and whoever owns the rulebook</w:t>
      </w:r>
    </w:p>
    <w:p>
      <w:pPr>
        <w:spacing w:after="260" w:before="160" w:line="288"/>
      </w:pPr>
      <w:r>
        <w:rPr>
          <w:rFonts w:ascii="Calibri" w:cs="Calibri" w:eastAsia="Calibri" w:hAnsi="Calibri"/>
          <w:color w:val="52514E"/>
          <w:sz w:val="21"/>
          <w:szCs w:val="21"/>
        </w:rPr>
        <w:t xml:space="preserve">Three related questions about the product rather than the service. The rules layer is the Account Signals build's strongest single page and the attribution build had no equivalent; the carrier lens is the reverse.</w:t>
      </w:r>
    </w:p>
    <w:p>
      <w:pPr>
        <w:pStyle w:val="Heading2"/>
        <w:keepNext/>
        <w:spacing w:after="70" w:before="320"/>
      </w:pPr>
      <w:r>
        <w:rPr>
          <w:rFonts w:ascii="Calibri" w:cs="Calibri" w:eastAsia="Calibri" w:hAnsi="Calibri"/>
          <w:b/>
          <w:bCs/>
          <w:color w:val="7A7871"/>
          <w:sz w:val="24"/>
          <w:szCs w:val="24"/>
        </w:rPr>
        <w:t xml:space="preserve">23.  </w:t>
      </w:r>
      <w:r>
        <w:rPr>
          <w:rFonts w:ascii="Calibri" w:cs="Calibri" w:eastAsia="Calibri" w:hAnsi="Calibri"/>
          <w:b/>
          <w:bCs/>
          <w:color w:val="1A1A19"/>
          <w:sz w:val="24"/>
          <w:szCs w:val="24"/>
        </w:rPr>
        <w:t xml:space="preserve">Rules we state incorrectly</w:t>
      </w:r>
    </w:p>
    <w:p>
      <w:pPr>
        <w:keepNext/>
        <w:spacing w:after="110"/>
      </w:pPr>
      <w:r>
        <w:rPr>
          <w:rFonts w:ascii="Calibri" w:cs="Calibri" w:eastAsia="Calibri" w:hAnsi="Calibri"/>
          <w:b/>
          <w:bCs/>
          <w:color w:val="3E3192"/>
          <w:spacing w:val="24"/>
          <w:sz w:val="15"/>
          <w:szCs w:val="15"/>
        </w:rPr>
        <w:t xml:space="preserve">ACCOUNT SIGNALS</w:t>
      </w:r>
    </w:p>
    <w:p>
      <w:pPr>
        <w:spacing w:after="130" w:line="288"/>
      </w:pPr>
      <w:r>
        <w:rPr>
          <w:rFonts w:ascii="Calibri" w:cs="Calibri" w:eastAsia="Calibri" w:hAnsi="Calibri"/>
          <w:color w:val="52514E"/>
          <w:sz w:val="21"/>
          <w:szCs w:val="21"/>
        </w:rPr>
        <w:t xml:space="preserve">All 122 published rules read against the calls that cite them, separating cited from misstated. Carries the workbook's own “commonly confused with” column, because that is the sheet's explanation of why a rule is easy to get wrong — which is what decides whether the fix is training or a rewrite.</w:t>
      </w:r>
    </w:p>
    <w:p>
      <w:pPr>
        <w:pBdr>
          <w:left w:val="single" w:color="3E3192" w:sz="12" w:space="10"/>
        </w:pBdr>
        <w:spacing w:after="200" w:line="276"/>
        <w:ind w:left="230"/>
      </w:pPr>
      <w:r>
        <w:rPr>
          <w:rFonts w:ascii="Calibri" w:cs="Calibri" w:eastAsia="Calibri" w:hAnsi="Calibri"/>
          <w:i/>
          <w:iCs/>
          <w:color w:val="1A1A19"/>
          <w:sz w:val="19"/>
          <w:szCs w:val="19"/>
        </w:rPr>
        <w:t xml:space="preserve">Account Signals only, and the strongest single page in either build. The attribution catalogue had no equivalent.</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3E3192"/>
          <w:spacing w:val="24"/>
          <w:sz w:val="15"/>
          <w:szCs w:val="15"/>
        </w:rPr>
        <w:t xml:space="preserve">EXAMPLE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color w:val="52514E"/>
          <w:sz w:val="20"/>
          <w:szCs w:val="20"/>
        </w:rPr>
        <w:t xml:space="preserve">An agent tells a member the major-service waiting period runs from their employer's new-hire date. It runs from the plan effective date. The rule is published, the agent is not careless, and the workbook already records that these two rules are commonly confused.</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11 calls state a published rule incorrectly, across the 100 written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Rules are split by layer — Program is ours, Administration is how we run it, Carrier belongs to the underwriter. Where a failure sits decides who can fix it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No failure rate per rule is published: a rule cited three times and misstated twice is two calls, not 67% (AS)</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Currently hidden from the Account Signals navigation. It should not be.</w:t>
      </w:r>
    </w:p>
    <w:p>
      <w:pPr>
        <w:pStyle w:val="Heading2"/>
        <w:keepNext/>
        <w:spacing w:after="70" w:before="320"/>
      </w:pPr>
      <w:r>
        <w:rPr>
          <w:rFonts w:ascii="Calibri" w:cs="Calibri" w:eastAsia="Calibri" w:hAnsi="Calibri"/>
          <w:b/>
          <w:bCs/>
          <w:color w:val="7A7871"/>
          <w:sz w:val="24"/>
          <w:szCs w:val="24"/>
        </w:rPr>
        <w:t xml:space="preserve">24.  </w:t>
      </w:r>
      <w:r>
        <w:rPr>
          <w:rFonts w:ascii="Calibri" w:cs="Calibri" w:eastAsia="Calibri" w:hAnsi="Calibri"/>
          <w:b/>
          <w:bCs/>
          <w:color w:val="1A1A19"/>
          <w:sz w:val="24"/>
          <w:szCs w:val="24"/>
        </w:rPr>
        <w:t xml:space="preserve">Rule provenance and confidence</w:t>
      </w:r>
    </w:p>
    <w:p>
      <w:pPr>
        <w:keepNext/>
        <w:spacing w:after="110"/>
      </w:pPr>
      <w:r>
        <w:rPr>
          <w:rFonts w:ascii="Calibri" w:cs="Calibri" w:eastAsia="Calibri" w:hAnsi="Calibri"/>
          <w:b/>
          <w:bCs/>
          <w:color w:val="3E3192"/>
          <w:spacing w:val="24"/>
          <w:sz w:val="15"/>
          <w:szCs w:val="15"/>
        </w:rPr>
        <w:t xml:space="preserve">ACCOUNT SIGNALS</w:t>
      </w:r>
    </w:p>
    <w:p>
      <w:pPr>
        <w:spacing w:after="200" w:line="288"/>
      </w:pPr>
      <w:r>
        <w:rPr>
          <w:rFonts w:ascii="Calibri" w:cs="Calibri" w:eastAsia="Calibri" w:hAnsi="Calibri"/>
          <w:color w:val="52514E"/>
          <w:sz w:val="21"/>
          <w:szCs w:val="21"/>
        </w:rPr>
        <w:t xml:space="preserve">The workbook grades every rule's provenance — verified, verified via a secondary source, or unverified. A rule we are unsure of that also gets misstated is a documentation problem, not a training one.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3E3192"/>
          <w:spacing w:val="24"/>
          <w:sz w:val="15"/>
          <w:szCs w:val="15"/>
        </w:rPr>
        <w:t xml:space="preserve">EXAMPLE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color w:val="52514E"/>
          <w:sz w:val="20"/>
          <w:szCs w:val="20"/>
        </w:rPr>
        <w:t xml:space="preserve">Before anyone is coached for getting a rule wrong, it is worth knowing whether we are certain of the rule ourselves.</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Provenance grade carried on every rule and shown wherever a rule appears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Unverified rules listed by ID rather than counted, because at this number the list is more useful than the total (AS)</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25.  </w:t>
      </w:r>
      <w:r>
        <w:rPr>
          <w:rFonts w:ascii="Calibri" w:cs="Calibri" w:eastAsia="Calibri" w:hAnsi="Calibri"/>
          <w:b/>
          <w:bCs/>
          <w:color w:val="1A1A19"/>
          <w:sz w:val="24"/>
          <w:szCs w:val="24"/>
        </w:rPr>
        <w:t xml:space="preserve">Plan-design confusion index</w:t>
      </w:r>
    </w:p>
    <w:p>
      <w:pPr>
        <w:keepNext/>
        <w:spacing w:after="110"/>
      </w:pPr>
      <w:r>
        <w:rPr>
          <w:rFonts w:ascii="Calibri" w:cs="Calibri" w:eastAsia="Calibri" w:hAnsi="Calibri"/>
          <w:b/>
          <w:bCs/>
          <w:color w:val="1C5CAB"/>
          <w:spacing w:val="24"/>
          <w:sz w:val="15"/>
          <w:szCs w:val="15"/>
        </w:rPr>
        <w:t xml:space="preserve">ATTRIBUTION PROTOTYPE</w:t>
      </w:r>
    </w:p>
    <w:p>
      <w:pPr>
        <w:spacing w:after="130" w:line="288"/>
      </w:pPr>
      <w:r>
        <w:rPr>
          <w:rFonts w:ascii="Calibri" w:cs="Calibri" w:eastAsia="Calibri" w:hAnsi="Calibri"/>
          <w:color w:val="52514E"/>
          <w:sz w:val="21"/>
          <w:szCs w:val="21"/>
        </w:rPr>
        <w:t xml:space="preserve">Calls where nothing failed. The plan did exactly what it says, the agent answered correctly, and the member still had to ring to find out. Not defects — the product telling us which of its own rules nobody can follow unaided.</w:t>
      </w:r>
    </w:p>
    <w:p>
      <w:pPr>
        <w:pBdr>
          <w:left w:val="single" w:color="1C5CAB" w:sz="12" w:space="10"/>
        </w:pBdr>
        <w:spacing w:after="200" w:line="276"/>
        <w:ind w:left="230"/>
      </w:pPr>
      <w:r>
        <w:rPr>
          <w:rFonts w:ascii="Calibri" w:cs="Calibri" w:eastAsia="Calibri" w:hAnsi="Calibri"/>
          <w:i/>
          <w:iCs/>
          <w:color w:val="1A1A19"/>
          <w:sz w:val="19"/>
          <w:szCs w:val="19"/>
        </w:rPr>
        <w:t xml:space="preserve">The mirror image of the rules page: not rules we stated wrongly, but rules we stated correctly that still generated a call.</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1C5CAB"/>
          <w:spacing w:val="24"/>
          <w:sz w:val="15"/>
          <w:szCs w:val="15"/>
        </w:rPr>
        <w:t xml:space="preserve">EXAMPLE</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color w:val="52514E"/>
          <w:sz w:val="20"/>
          <w:szCs w:val="20"/>
        </w:rPr>
        <w:t xml:space="preserve">Two hundred people a year ring to ask the same correct question. The answer is either better material or a simpler rule, and that is a decision for whoever owns the exchange rather than for the call centre.</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408 records where the plan behaved as designed or was correctly stated and still misread (AP)</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By line: program 180, dental 110, vision 62, life 46, chiro 10 (AP)</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Every one resolves quickly and scores well. Pure avoidable demand that no service metric catches.</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A private exchange sells choice, and choice is the thing members get wrong. This is the running cost of the product's central idea, and nobody currently measures it.</w:t>
      </w:r>
    </w:p>
    <w:p>
      <w:pPr>
        <w:pStyle w:val="Heading2"/>
        <w:keepNext/>
        <w:spacing w:after="70" w:before="320"/>
      </w:pPr>
      <w:r>
        <w:rPr>
          <w:rFonts w:ascii="Calibri" w:cs="Calibri" w:eastAsia="Calibri" w:hAnsi="Calibri"/>
          <w:b/>
          <w:bCs/>
          <w:color w:val="7A7871"/>
          <w:sz w:val="24"/>
          <w:szCs w:val="24"/>
        </w:rPr>
        <w:t xml:space="preserve">26.  </w:t>
      </w:r>
      <w:r>
        <w:rPr>
          <w:rFonts w:ascii="Calibri" w:cs="Calibri" w:eastAsia="Calibri" w:hAnsi="Calibri"/>
          <w:b/>
          <w:bCs/>
          <w:color w:val="1A1A19"/>
          <w:sz w:val="24"/>
          <w:szCs w:val="24"/>
        </w:rPr>
        <w:t xml:space="preserve">Carrier service scorecard</w:t>
      </w:r>
    </w:p>
    <w:p>
      <w:pPr>
        <w:keepNext/>
        <w:spacing w:after="110"/>
      </w:pPr>
      <w:r>
        <w:rPr>
          <w:rFonts w:ascii="Calibri" w:cs="Calibri" w:eastAsia="Calibri" w:hAnsi="Calibri"/>
          <w:b/>
          <w:bCs/>
          <w:color w:val="1C5CAB"/>
          <w:spacing w:val="24"/>
          <w:sz w:val="15"/>
          <w:szCs w:val="15"/>
        </w:rPr>
        <w:t xml:space="preserve">ATTRIBUTION PROTOTYPE</w:t>
      </w:r>
      <w:r>
        <w:rPr>
          <w:rFonts w:ascii="Calibri" w:cs="Calibri" w:eastAsia="Calibri" w:hAnsi="Calibri"/>
          <w:sz w:val="15"/>
          <w:szCs w:val="15"/>
        </w:rPr>
        <w:t xml:space="preserve">      </w:t>
      </w:r>
      <w:r>
        <w:rPr>
          <w:rFonts w:ascii="Calibri" w:cs="Calibri" w:eastAsia="Calibri" w:hAnsi="Calibri"/>
          <w:b/>
          <w:bCs/>
          <w:color w:val="B8451F"/>
          <w:spacing w:val="24"/>
          <w:sz w:val="15"/>
          <w:szCs w:val="15"/>
        </w:rPr>
        <w:t xml:space="preserve">NEEDS DATA WE DO NOT HAVE</w:t>
      </w:r>
    </w:p>
    <w:p>
      <w:pPr>
        <w:spacing w:after="200" w:line="288"/>
      </w:pPr>
      <w:r>
        <w:rPr>
          <w:rFonts w:ascii="Calibri" w:cs="Calibri" w:eastAsia="Calibri" w:hAnsi="Calibri"/>
          <w:color w:val="52514E"/>
          <w:sz w:val="21"/>
          <w:szCs w:val="21"/>
        </w:rPr>
        <w:t xml:space="preserve">Member calls attributed to each carrier's own behaviour — their denials, their timelines, their directory — per 1,000 covered lives. Normalised, so a carrier holding half the book is not penalised for holding half the book, and calls about their plans that were our fault are excluded.</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b/>
          <w:bCs/>
          <w:color w:val="B8451F"/>
          <w:spacing w:val="24"/>
          <w:sz w:val="15"/>
          <w:szCs w:val="15"/>
        </w:rPr>
        <w:t xml:space="preserve">EXAMPLE</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color w:val="52514E"/>
          <w:sz w:val="20"/>
          <w:szCs w:val="20"/>
        </w:rPr>
        <w:t xml:space="preserve">Walking into a carrier renewal with “your denials generate two and a half times the member contact of the next carrier on our shelf, and here are two hundred examples” is leverage. It is leverage no broker and no carrier can assemble, because neither can see across the shelf.</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Worst on the shelf: 34.5 attributed calls per 1,000 lives against 14.0 for the next carrier (AP)</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221 attributed calls — 195 denials with no stated reason, 26 claims left sitting (AP)</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Live corpus records complaints against a carrier on 2 of 100 calls, with no carrier entity to join them to (AS)</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Carrier is not a field on a call in either build. The attribution version infers it from the group's coverage — good enough to rank the shelf, nowhere near good enough to put in front of a carrier.</w:t>
      </w:r>
    </w:p>
    <w:p>
      <w:pPr>
        <w:pStyle w:val="Heading2"/>
        <w:keepNext/>
        <w:spacing w:after="70" w:before="320"/>
      </w:pPr>
      <w:r>
        <w:rPr>
          <w:rFonts w:ascii="Calibri" w:cs="Calibri" w:eastAsia="Calibri" w:hAnsi="Calibri"/>
          <w:b/>
          <w:bCs/>
          <w:color w:val="7A7871"/>
          <w:sz w:val="24"/>
          <w:szCs w:val="24"/>
        </w:rPr>
        <w:t xml:space="preserve">27.  </w:t>
      </w:r>
      <w:r>
        <w:rPr>
          <w:rFonts w:ascii="Calibri" w:cs="Calibri" w:eastAsia="Calibri" w:hAnsi="Calibri"/>
          <w:b/>
          <w:bCs/>
          <w:color w:val="1A1A19"/>
          <w:sz w:val="24"/>
          <w:szCs w:val="24"/>
        </w:rPr>
        <w:t xml:space="preserve">Network adequacy clusters</w:t>
      </w:r>
    </w:p>
    <w:p>
      <w:pPr>
        <w:keepNext/>
        <w:spacing w:after="110"/>
      </w:pPr>
      <w:r>
        <w:rPr>
          <w:rFonts w:ascii="Calibri" w:cs="Calibri" w:eastAsia="Calibri" w:hAnsi="Calibri"/>
          <w:b/>
          <w:bCs/>
          <w:color w:val="1C5CAB"/>
          <w:spacing w:val="24"/>
          <w:sz w:val="15"/>
          <w:szCs w:val="15"/>
        </w:rPr>
        <w:t xml:space="preserve">ATTRIBUTION PROTOTYPE</w:t>
      </w:r>
      <w:r>
        <w:rPr>
          <w:rFonts w:ascii="Calibri" w:cs="Calibri" w:eastAsia="Calibri" w:hAnsi="Calibri"/>
          <w:sz w:val="15"/>
          <w:szCs w:val="15"/>
        </w:rPr>
        <w:t xml:space="preserve">      </w:t>
      </w:r>
      <w:r>
        <w:rPr>
          <w:rFonts w:ascii="Calibri" w:cs="Calibri" w:eastAsia="Calibri" w:hAnsi="Calibri"/>
          <w:b/>
          <w:bCs/>
          <w:color w:val="B8451F"/>
          <w:spacing w:val="24"/>
          <w:sz w:val="15"/>
          <w:szCs w:val="15"/>
        </w:rPr>
        <w:t xml:space="preserve">NEEDS DATA WE DO NOT HAVE</w:t>
      </w:r>
    </w:p>
    <w:p>
      <w:pPr>
        <w:spacing w:after="200" w:line="288"/>
      </w:pPr>
      <w:r>
        <w:rPr>
          <w:rFonts w:ascii="Calibri" w:cs="Calibri" w:eastAsia="Calibri" w:hAnsi="Calibri"/>
          <w:color w:val="52514E"/>
          <w:sz w:val="21"/>
          <w:szCs w:val="21"/>
        </w:rPr>
        <w:t xml:space="preserve">Provider-not-found and directory-stale calls grouped by region, product and carrier. Feeds the question of which carriers to add where, which for a general agency is a decision about its own shelf.</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b/>
          <w:bCs/>
          <w:color w:val="B8451F"/>
          <w:spacing w:val="24"/>
          <w:sz w:val="15"/>
          <w:szCs w:val="15"/>
        </w:rPr>
        <w:t xml:space="preserve">EXAMPLE</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color w:val="52514E"/>
          <w:sz w:val="20"/>
          <w:szCs w:val="20"/>
        </w:rPr>
        <w:t xml:space="preserve">A member is told her dentist is in network. The practice says she left two years ago. That is one annoyed member; forty in the same county is a gap in the shelf.</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61 stale-directory records and 42 practices declining the plan (AP)</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103 provider-network calls, concentrated in one metro area (AP)</w:t>
      </w:r>
    </w:p>
    <w:p>
      <w:pPr>
        <w:keepNext/>
        <w:keepLines/>
        <w:pBdr>
          <w:top w:val="nil"/>
          <w:bottom w:val="nil"/>
          <w:left w:val="single" w:color="B8451F" w:sz="18" w:space="10"/>
          <w:right w:val="nil"/>
        </w:pBdr>
        <w:shd w:fill="F4F5F2" w:color="auto" w:val="clear"/>
        <w:spacing w:after="0" w:line="276"/>
        <w:ind w:left="604" w:right="144" w:hanging="374"/>
      </w:pPr>
      <w:r>
        <w:rPr>
          <w:rFonts w:ascii="Calibri" w:cs="Calibri" w:eastAsia="Calibri" w:hAnsi="Calibri"/>
          <w:color w:val="B8451F"/>
          <w:sz w:val="20"/>
          <w:szCs w:val="20"/>
        </w:rPr>
        <w:t xml:space="preserve">—   </w:t>
      </w:r>
      <w:r>
        <w:rPr>
          <w:rFonts w:ascii="Calibri" w:cs="Calibri" w:eastAsia="Calibri" w:hAnsi="Calibri"/>
          <w:color w:val="52514E"/>
          <w:sz w:val="20"/>
          <w:szCs w:val="20"/>
        </w:rPr>
        <w:t xml:space="preserve">The region lens to do this properly already exists in Account Signals (AS)</w:t>
      </w:r>
    </w:p>
    <w:p>
      <w:pPr>
        <w:keepNext/>
        <w:keepLines/>
        <w:pBdr>
          <w:top w:val="nil"/>
          <w:bottom w:val="nil"/>
          <w:left w:val="single" w:color="B8451F"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Wants provider specialty and location, which neither build has.</w:t>
      </w:r>
    </w:p>
    <w:p>
      <w:r>
        <w:br w:type="page"/>
      </w:r>
    </w:p>
    <w:p>
      <w:pPr>
        <w:spacing w:after="60"/>
      </w:pPr>
      <w:r>
        <w:rPr>
          <w:rFonts w:ascii="Calibri" w:cs="Calibri" w:eastAsia="Calibri" w:hAnsi="Calibri"/>
          <w:b/>
          <w:bCs/>
          <w:color w:val="7A7871"/>
          <w:spacing w:val="26"/>
          <w:sz w:val="16"/>
          <w:szCs w:val="16"/>
        </w:rPr>
        <w:t xml:space="preserve">Screen 6 of 7</w:t>
      </w:r>
    </w:p>
    <w:p>
      <w:pPr>
        <w:pStyle w:val="Heading1"/>
        <w:spacing w:after="130"/>
      </w:pPr>
      <w:r>
        <w:rPr>
          <w:rFonts w:ascii="Calibri" w:cs="Calibri" w:eastAsia="Calibri" w:hAnsi="Calibri"/>
          <w:b/>
          <w:bCs/>
          <w:color w:val="1A1A19"/>
          <w:sz w:val="34"/>
          <w:szCs w:val="34"/>
        </w:rPr>
        <w:t xml:space="preserve">Agent and handling</w:t>
      </w:r>
    </w:p>
    <w:p>
      <w:pPr>
        <w:spacing w:after="80"/>
      </w:pPr>
      <w:r>
        <w:rPr>
          <w:rFonts w:ascii="Calibri" w:cs="Calibri" w:eastAsia="Calibri" w:hAnsi="Calibri"/>
          <w:i/>
          <w:iCs/>
          <w:color w:val="1C5CAB"/>
          <w:sz w:val="23"/>
          <w:szCs w:val="23"/>
        </w:rPr>
        <w:t xml:space="preserve">Is the handling itself any good, and what does a call cost the member?</w:t>
      </w:r>
    </w:p>
    <w:p>
      <w:pPr>
        <w:pBdr>
          <w:bottom w:val="single" w:color="D8D7D0" w:sz="6" w:space="12"/>
        </w:pBdr>
        <w:spacing w:after="180"/>
      </w:pPr>
      <w:r>
        <w:rPr>
          <w:rFonts w:ascii="Calibri" w:cs="Calibri" w:eastAsia="Calibri" w:hAnsi="Calibri"/>
          <w:color w:val="7A7871"/>
          <w:sz w:val="18"/>
          <w:szCs w:val="18"/>
        </w:rPr>
        <w:t xml:space="preserve">Opened by: Service delivery and team leads</w:t>
      </w:r>
    </w:p>
    <w:p>
      <w:pPr>
        <w:spacing w:after="260" w:before="160" w:line="288"/>
      </w:pPr>
      <w:r>
        <w:rPr>
          <w:rFonts w:ascii="Calibri" w:cs="Calibri" w:eastAsia="Calibri" w:hAnsi="Calibri"/>
          <w:color w:val="52514E"/>
          <w:sz w:val="21"/>
          <w:szCs w:val="21"/>
        </w:rPr>
        <w:t xml:space="preserve">The one screen that is about the call rather than the book. Kept deliberately small, and handle time appears nowhere as a target.</w:t>
      </w:r>
    </w:p>
    <w:p>
      <w:pPr>
        <w:pStyle w:val="Heading2"/>
        <w:keepNext/>
        <w:spacing w:after="70" w:before="320"/>
      </w:pPr>
      <w:r>
        <w:rPr>
          <w:rFonts w:ascii="Calibri" w:cs="Calibri" w:eastAsia="Calibri" w:hAnsi="Calibri"/>
          <w:b/>
          <w:bCs/>
          <w:color w:val="7A7871"/>
          <w:sz w:val="24"/>
          <w:szCs w:val="24"/>
        </w:rPr>
        <w:t xml:space="preserve">28.  </w:t>
      </w:r>
      <w:r>
        <w:rPr>
          <w:rFonts w:ascii="Calibri" w:cs="Calibri" w:eastAsia="Calibri" w:hAnsi="Calibri"/>
          <w:b/>
          <w:bCs/>
          <w:color w:val="1A1A19"/>
          <w:sz w:val="24"/>
          <w:szCs w:val="24"/>
        </w:rPr>
        <w:t xml:space="preserve">Agent quality against expected band</w:t>
      </w:r>
    </w:p>
    <w:p>
      <w:pPr>
        <w:keepNext/>
        <w:spacing w:after="110"/>
      </w:pPr>
      <w:r>
        <w:rPr>
          <w:rFonts w:ascii="Calibri" w:cs="Calibri" w:eastAsia="Calibri" w:hAnsi="Calibri"/>
          <w:b/>
          <w:bCs/>
          <w:color w:val="3E3192"/>
          <w:spacing w:val="24"/>
          <w:sz w:val="15"/>
          <w:szCs w:val="15"/>
        </w:rPr>
        <w:t xml:space="preserve">ACCOUNT SIGNALS</w:t>
      </w:r>
    </w:p>
    <w:p>
      <w:pPr>
        <w:spacing w:after="130" w:line="288"/>
      </w:pPr>
      <w:r>
        <w:rPr>
          <w:rFonts w:ascii="Calibri" w:cs="Calibri" w:eastAsia="Calibri" w:hAnsi="Calibri"/>
          <w:color w:val="52514E"/>
          <w:sz w:val="21"/>
          <w:szCs w:val="21"/>
        </w:rPr>
        <w:t xml:space="preserve">Twenty agents, each with a band and an expected mean and variance from the roster. A score is read against what is normal for that agent rather than against the book, so a new agent at 79 is not confused with a senior agent at 79.</w:t>
      </w:r>
    </w:p>
    <w:p>
      <w:pPr>
        <w:pBdr>
          <w:left w:val="single" w:color="3E3192" w:sz="12" w:space="10"/>
        </w:pBdr>
        <w:spacing w:after="200" w:line="276"/>
        <w:ind w:left="230"/>
      </w:pPr>
      <w:r>
        <w:rPr>
          <w:rFonts w:ascii="Calibri" w:cs="Calibri" w:eastAsia="Calibri" w:hAnsi="Calibri"/>
          <w:i/>
          <w:iCs/>
          <w:color w:val="1A1A19"/>
          <w:sz w:val="19"/>
          <w:szCs w:val="19"/>
        </w:rPr>
        <w:t xml:space="preserve">Account Signals carries the agent roster and band; neither build yet scores an agent against what is normal for them.</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3E3192"/>
          <w:spacing w:val="24"/>
          <w:sz w:val="15"/>
          <w:szCs w:val="15"/>
        </w:rPr>
        <w:t xml:space="preserve">EXAMPLE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color w:val="52514E"/>
          <w:sz w:val="20"/>
          <w:szCs w:val="20"/>
        </w:rPr>
        <w:t xml:space="preserve">A team lead sees a 73 average and has no idea whether that is a problem. Against a roster expectation of 71 for that band it is fine; against 88 it is a conversation.</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Average quality score across the written calls is 73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Agent is a filter dimension on every page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The roster's expected mean and variance are not yet used — this is the one step left to take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29.  </w:t>
      </w:r>
      <w:r>
        <w:rPr>
          <w:rFonts w:ascii="Calibri" w:cs="Calibri" w:eastAsia="Calibri" w:hAnsi="Calibri"/>
          <w:b/>
          <w:bCs/>
          <w:color w:val="1A1A19"/>
          <w:sz w:val="24"/>
          <w:szCs w:val="24"/>
        </w:rPr>
        <w:t xml:space="preserve">Member effort and complexity</w:t>
      </w:r>
    </w:p>
    <w:p>
      <w:pPr>
        <w:keepNext/>
        <w:spacing w:after="110"/>
      </w:pPr>
      <w:r>
        <w:rPr>
          <w:rFonts w:ascii="Calibri" w:cs="Calibri" w:eastAsia="Calibri" w:hAnsi="Calibri"/>
          <w:b/>
          <w:bCs/>
          <w:color w:val="3E3192"/>
          <w:spacing w:val="24"/>
          <w:sz w:val="15"/>
          <w:szCs w:val="15"/>
        </w:rPr>
        <w:t xml:space="preserve">ACCOUNT SIGNALS</w:t>
      </w:r>
    </w:p>
    <w:p>
      <w:pPr>
        <w:spacing w:after="200" w:line="288"/>
      </w:pPr>
      <w:r>
        <w:rPr>
          <w:rFonts w:ascii="Calibri" w:cs="Calibri" w:eastAsia="Calibri" w:hAnsi="Calibri"/>
          <w:color w:val="52514E"/>
          <w:sz w:val="21"/>
          <w:szCs w:val="21"/>
        </w:rPr>
        <w:t xml:space="preserve">Two derived composites built from talk time, turn count, repeat contact, escalation and outcome. Explicitly labelled on the page as ours rather than the corpus's, because neither is a field in the v9 tag schema.</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3E3192"/>
          <w:spacing w:val="24"/>
          <w:sz w:val="15"/>
          <w:szCs w:val="15"/>
        </w:rPr>
        <w:t xml:space="preserve">EXAMPLE</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color w:val="52514E"/>
          <w:sz w:val="20"/>
          <w:szCs w:val="20"/>
        </w:rPr>
        <w:t xml:space="preserve">Two calls both resolve in eight minutes. One took four turns and the member said thank you. The other took twenty-two turns, a hold, and a second explanation. Handle time cannot tell them apart.</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Effort and complexity each scored 0–100 with a High / Medium / Low band, on every call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High member effort is one of the ten indicator families in the risk band (AS)</w:t>
      </w:r>
    </w:p>
    <w:p>
      <w:pPr>
        <w:keepNext/>
        <w:keepLines/>
        <w:pBdr>
          <w:top w:val="nil"/>
          <w:bottom w:val="nil"/>
          <w:left w:val="single" w:color="3E3192" w:sz="18" w:space="10"/>
          <w:right w:val="nil"/>
        </w:pBdr>
        <w:shd w:fill="F4F5F2" w:color="auto" w:val="clear"/>
        <w:spacing w:after="0" w:line="276"/>
        <w:ind w:left="604" w:right="144" w:hanging="374"/>
      </w:pPr>
      <w:r>
        <w:rPr>
          <w:rFonts w:ascii="Calibri" w:cs="Calibri" w:eastAsia="Calibri" w:hAnsi="Calibri"/>
          <w:color w:val="3E3192"/>
          <w:sz w:val="20"/>
          <w:szCs w:val="20"/>
        </w:rPr>
        <w:t xml:space="preserve">—   </w:t>
      </w:r>
      <w:r>
        <w:rPr>
          <w:rFonts w:ascii="Calibri" w:cs="Calibri" w:eastAsia="Calibri" w:hAnsi="Calibri"/>
          <w:color w:val="52514E"/>
          <w:sz w:val="20"/>
          <w:szCs w:val="20"/>
        </w:rPr>
        <w:t xml:space="preserve">The page states outright that sentiment and scored complexity are not v9 fields and these are composites (AS)</w:t>
      </w:r>
    </w:p>
    <w:p>
      <w:pPr>
        <w:keepNext/>
        <w:keepLines/>
        <w:pBdr>
          <w:top w:val="nil"/>
          <w:bottom w:val="nil"/>
          <w:left w:val="single" w:color="3E3192" w:sz="18" w:space="10"/>
          <w:right w:val="nil"/>
        </w:pBdr>
        <w:shd w:fill="F4F5F2" w:color="auto" w:val="clear"/>
        <w:spacing w:after="0" w:before="0" w:line="276"/>
        <w:ind w:left="230" w:right="144"/>
      </w:pPr>
      <w:r>
        <w:rPr>
          <w:rFonts w:ascii="Calibri" w:cs="Calibri" w:eastAsia="Calibri" w:hAnsi="Calibri"/>
          <w:sz w:val="8"/>
          <w:szCs w:val="8"/>
        </w:rPr>
        <w:t xml:space="preserve"/>
      </w:r>
    </w:p>
    <w:p>
      <w:pPr>
        <w:spacing w:after="60" w:before="140" w:line="276"/>
        <w:ind w:left="230"/>
      </w:pPr>
      <w:r>
        <w:rPr>
          <w:rFonts w:ascii="Calibri" w:cs="Calibri" w:eastAsia="Calibri" w:hAnsi="Calibri"/>
          <w:i/>
          <w:iCs/>
          <w:color w:val="1A1A19"/>
          <w:sz w:val="19"/>
          <w:szCs w:val="19"/>
        </w:rPr>
        <w:t xml:space="preserve">The honesty of the labelling is the thing to keep. It is the clearest example in either build of a derived figure declaring itself.</w:t>
      </w:r>
    </w:p>
    <w:p>
      <w:r>
        <w:br w:type="page"/>
      </w:r>
    </w:p>
    <w:p>
      <w:pPr>
        <w:spacing w:after="60"/>
      </w:pPr>
      <w:r>
        <w:rPr>
          <w:rFonts w:ascii="Calibri" w:cs="Calibri" w:eastAsia="Calibri" w:hAnsi="Calibri"/>
          <w:b/>
          <w:bCs/>
          <w:color w:val="7A7871"/>
          <w:spacing w:val="26"/>
          <w:sz w:val="16"/>
          <w:szCs w:val="16"/>
        </w:rPr>
        <w:t xml:space="preserve">Screen 7 of 7</w:t>
      </w:r>
    </w:p>
    <w:p>
      <w:pPr>
        <w:pStyle w:val="Heading1"/>
        <w:spacing w:after="130"/>
      </w:pPr>
      <w:r>
        <w:rPr>
          <w:rFonts w:ascii="Calibri" w:cs="Calibri" w:eastAsia="Calibri" w:hAnsi="Calibri"/>
          <w:b/>
          <w:bCs/>
          <w:color w:val="1A1A19"/>
          <w:sz w:val="34"/>
          <w:szCs w:val="34"/>
        </w:rPr>
        <w:t xml:space="preserve">Value pack</w:t>
      </w:r>
    </w:p>
    <w:p>
      <w:pPr>
        <w:spacing w:after="80"/>
      </w:pPr>
      <w:r>
        <w:rPr>
          <w:rFonts w:ascii="Calibri" w:cs="Calibri" w:eastAsia="Calibri" w:hAnsi="Calibri"/>
          <w:i/>
          <w:iCs/>
          <w:color w:val="1C5CAB"/>
          <w:sz w:val="23"/>
          <w:szCs w:val="23"/>
        </w:rPr>
        <w:t xml:space="preserve">Why should this broker keep placing business with us?</w:t>
      </w:r>
    </w:p>
    <w:p>
      <w:pPr>
        <w:pBdr>
          <w:bottom w:val="single" w:color="D8D7D0" w:sz="6" w:space="12"/>
        </w:pBdr>
        <w:spacing w:after="180"/>
      </w:pPr>
      <w:r>
        <w:rPr>
          <w:rFonts w:ascii="Calibri" w:cs="Calibri" w:eastAsia="Calibri" w:hAnsi="Calibri"/>
          <w:color w:val="7A7871"/>
          <w:sz w:val="18"/>
          <w:szCs w:val="18"/>
        </w:rPr>
        <w:t xml:space="preserve">Opened by: Account manager, generated quarterly</w:t>
      </w:r>
    </w:p>
    <w:p>
      <w:pPr>
        <w:spacing w:after="260" w:before="160" w:line="288"/>
      </w:pPr>
      <w:r>
        <w:rPr>
          <w:rFonts w:ascii="Calibri" w:cs="Calibri" w:eastAsia="Calibri" w:hAnsi="Calibri"/>
          <w:color w:val="52514E"/>
          <w:sz w:val="21"/>
          <w:szCs w:val="21"/>
        </w:rPr>
        <w:t xml:space="preserve">Not an analytic. A retention artifact generated from the same records as every other screen, including the parts that do not flatter us.</w:t>
      </w:r>
    </w:p>
    <w:p>
      <w:pPr>
        <w:pStyle w:val="Heading2"/>
        <w:keepNext/>
        <w:spacing w:after="70" w:before="320"/>
      </w:pPr>
      <w:r>
        <w:rPr>
          <w:rFonts w:ascii="Calibri" w:cs="Calibri" w:eastAsia="Calibri" w:hAnsi="Calibri"/>
          <w:b/>
          <w:bCs/>
          <w:color w:val="7A7871"/>
          <w:sz w:val="24"/>
          <w:szCs w:val="24"/>
        </w:rPr>
        <w:t xml:space="preserve">30.  </w:t>
      </w:r>
      <w:r>
        <w:rPr>
          <w:rFonts w:ascii="Calibri" w:cs="Calibri" w:eastAsia="Calibri" w:hAnsi="Calibri"/>
          <w:b/>
          <w:bCs/>
          <w:color w:val="1A1A19"/>
          <w:sz w:val="24"/>
          <w:szCs w:val="24"/>
        </w:rPr>
        <w:t xml:space="preserve">The quarterly value pack</w:t>
      </w:r>
    </w:p>
    <w:p>
      <w:pPr>
        <w:keepNext/>
        <w:spacing w:after="110"/>
      </w:pPr>
      <w:r>
        <w:rPr>
          <w:rFonts w:ascii="Calibri" w:cs="Calibri" w:eastAsia="Calibri" w:hAnsi="Calibri"/>
          <w:b/>
          <w:bCs/>
          <w:color w:val="1C5CAB"/>
          <w:spacing w:val="24"/>
          <w:sz w:val="15"/>
          <w:szCs w:val="15"/>
        </w:rPr>
        <w:t xml:space="preserve">ATTRIBUTION PROTOTYPE</w:t>
      </w:r>
    </w:p>
    <w:p>
      <w:pPr>
        <w:spacing w:after="200" w:line="288"/>
      </w:pPr>
      <w:r>
        <w:rPr>
          <w:rFonts w:ascii="Calibri" w:cs="Calibri" w:eastAsia="Calibri" w:hAnsi="Calibri"/>
          <w:color w:val="52514E"/>
          <w:sz w:val="21"/>
          <w:szCs w:val="21"/>
        </w:rPr>
        <w:t xml:space="preserve">Per broker, per quarter: what we handled, what we caught, what we got wrong, and what we are asking for. It opens with our own failures, because the broker already knows about them — their groups have been complaining all year — and a pack that omitted them would be read as marketing and put down.</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1C5CAB"/>
          <w:spacing w:val="24"/>
          <w:sz w:val="15"/>
          <w:szCs w:val="15"/>
        </w:rPr>
        <w:t xml:space="preserve">EXAMPLE</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color w:val="52514E"/>
          <w:sz w:val="20"/>
          <w:szCs w:val="20"/>
        </w:rPr>
        <w:t xml:space="preserve">Most brokers have no idea what their general agency does for them between renewals, because the only time they hear from us is when something has gone wrong. Four times a year, a page that is checkable rather than merely given changes that.</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One book: 186 calls handled, 42% resolved first time, 31 of 50 warranted escalations handled (AP)</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17% of their groups' calls started with us — stated in the second paragraph, not buried (AP)</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Our largest single failure on their book named outright, with the fix reference and the date it shipped</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Two asks, ranked by calls removed rather than by how much they annoy us</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31.  </w:t>
      </w:r>
      <w:r>
        <w:rPr>
          <w:rFonts w:ascii="Calibri" w:cs="Calibri" w:eastAsia="Calibri" w:hAnsi="Calibri"/>
          <w:b/>
          <w:bCs/>
          <w:color w:val="1A1A19"/>
          <w:sz w:val="24"/>
          <w:szCs w:val="24"/>
        </w:rPr>
        <w:t xml:space="preserve">Commercial intent routing</w:t>
      </w:r>
    </w:p>
    <w:p>
      <w:pPr>
        <w:keepNext/>
        <w:spacing w:after="110"/>
      </w:pPr>
      <w:r>
        <w:rPr>
          <w:rFonts w:ascii="Calibri" w:cs="Calibri" w:eastAsia="Calibri" w:hAnsi="Calibri"/>
          <w:b/>
          <w:bCs/>
          <w:color w:val="046604"/>
          <w:spacing w:val="24"/>
          <w:sz w:val="15"/>
          <w:szCs w:val="15"/>
        </w:rPr>
        <w:t xml:space="preserve">MERGED</w:t>
      </w:r>
    </w:p>
    <w:p>
      <w:pPr>
        <w:spacing w:after="200" w:line="288"/>
      </w:pPr>
      <w:r>
        <w:rPr>
          <w:rFonts w:ascii="Calibri" w:cs="Calibri" w:eastAsia="Calibri" w:hAnsi="Calibri"/>
          <w:color w:val="52514E"/>
          <w:sz w:val="21"/>
          <w:szCs w:val="21"/>
        </w:rPr>
        <w:t xml:space="preserve">Expansion signals, new-site mentions and ancillary interest captured verbatim and passed to the broker inside a day. The call centre stops being a cost centre and becomes a lead source.</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b/>
          <w:bCs/>
          <w:color w:val="046604"/>
          <w:spacing w:val="24"/>
          <w:sz w:val="15"/>
          <w:szCs w:val="15"/>
        </w:rPr>
        <w:t xml:space="preserve">EXAMPLE</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color w:val="52514E"/>
          <w:sz w:val="20"/>
          <w:szCs w:val="20"/>
        </w:rPr>
        <w:t xml:space="preserve">“There's talk of taking on another twelve people.” The agent was solving an ID card problem and heard it in passing. Nobody currently does anything with it.</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3 expansion signals in the 100 written calls; intent is already a tagged field and a filter (AS)</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71 across the synthetic year, captured as the caller's own words with the group and call reference (AP)</w:t>
      </w:r>
    </w:p>
    <w:p>
      <w:pPr>
        <w:keepNext/>
        <w:keepLines/>
        <w:pBdr>
          <w:top w:val="nil"/>
          <w:bottom w:val="nil"/>
          <w:left w:val="single" w:color="046604" w:sz="18" w:space="10"/>
          <w:right w:val="nil"/>
        </w:pBdr>
        <w:shd w:fill="F4F5F2" w:color="auto" w:val="clear"/>
        <w:spacing w:after="0" w:line="276"/>
        <w:ind w:left="604" w:right="144" w:hanging="374"/>
      </w:pPr>
      <w:r>
        <w:rPr>
          <w:rFonts w:ascii="Calibri" w:cs="Calibri" w:eastAsia="Calibri" w:hAnsi="Calibri"/>
          <w:color w:val="046604"/>
          <w:sz w:val="20"/>
          <w:szCs w:val="20"/>
        </w:rPr>
        <w:t xml:space="preserve">—   </w:t>
      </w:r>
      <w:r>
        <w:rPr>
          <w:rFonts w:ascii="Calibri" w:cs="Calibri" w:eastAsia="Calibri" w:hAnsi="Calibri"/>
          <w:color w:val="52514E"/>
          <w:sz w:val="20"/>
          <w:szCs w:val="20"/>
        </w:rPr>
        <w:t xml:space="preserve">A broker who receives warm leads from their general agency has a commercial reason to stay that has nothing to do with service quality</w:t>
      </w:r>
    </w:p>
    <w:p>
      <w:pPr>
        <w:keepNext/>
        <w:keepLines/>
        <w:pBdr>
          <w:top w:val="nil"/>
          <w:bottom w:val="nil"/>
          <w:left w:val="single" w:color="046604" w:sz="18" w:space="10"/>
          <w:right w:val="nil"/>
        </w:pBdr>
        <w:shd w:fill="F4F5F2" w:color="auto" w:val="clear"/>
        <w:spacing w:after="0" w:before="0" w:line="276"/>
        <w:ind w:left="230" w:right="144"/>
      </w:pPr>
      <w:r>
        <w:rPr>
          <w:rFonts w:ascii="Calibri" w:cs="Calibri" w:eastAsia="Calibri" w:hAnsi="Calibri"/>
          <w:sz w:val="8"/>
          <w:szCs w:val="8"/>
        </w:rPr>
        <w:t xml:space="preserve"/>
      </w:r>
    </w:p>
    <w:p>
      <w:pPr>
        <w:pStyle w:val="Heading2"/>
        <w:keepNext/>
        <w:spacing w:after="70" w:before="320"/>
      </w:pPr>
      <w:r>
        <w:rPr>
          <w:rFonts w:ascii="Calibri" w:cs="Calibri" w:eastAsia="Calibri" w:hAnsi="Calibri"/>
          <w:b/>
          <w:bCs/>
          <w:color w:val="7A7871"/>
          <w:sz w:val="24"/>
          <w:szCs w:val="24"/>
        </w:rPr>
        <w:t xml:space="preserve">32.  </w:t>
      </w:r>
      <w:r>
        <w:rPr>
          <w:rFonts w:ascii="Calibri" w:cs="Calibri" w:eastAsia="Calibri" w:hAnsi="Calibri"/>
          <w:b/>
          <w:bCs/>
          <w:color w:val="1A1A19"/>
          <w:sz w:val="24"/>
          <w:szCs w:val="24"/>
        </w:rPr>
        <w:t xml:space="preserve">Ancillary attach opportunity</w:t>
      </w:r>
    </w:p>
    <w:p>
      <w:pPr>
        <w:keepNext/>
        <w:spacing w:after="110"/>
      </w:pPr>
      <w:r>
        <w:rPr>
          <w:rFonts w:ascii="Calibri" w:cs="Calibri" w:eastAsia="Calibri" w:hAnsi="Calibri"/>
          <w:b/>
          <w:bCs/>
          <w:color w:val="1C5CAB"/>
          <w:spacing w:val="24"/>
          <w:sz w:val="15"/>
          <w:szCs w:val="15"/>
        </w:rPr>
        <w:t xml:space="preserve">ATTRIBUTION PROTOTYPE</w:t>
      </w:r>
    </w:p>
    <w:p>
      <w:pPr>
        <w:spacing w:after="200" w:line="288"/>
      </w:pPr>
      <w:r>
        <w:rPr>
          <w:rFonts w:ascii="Calibri" w:cs="Calibri" w:eastAsia="Calibri" w:hAnsi="Calibri"/>
          <w:color w:val="52514E"/>
          <w:sz w:val="21"/>
          <w:szCs w:val="21"/>
        </w:rPr>
        <w:t xml:space="preserve">Groups on the medical program with no ancillary lines whose members are calling about those lines anyway. Direct upsell into the second product with evidence of demand behind it.</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1C5CAB"/>
          <w:spacing w:val="24"/>
          <w:sz w:val="15"/>
          <w:szCs w:val="15"/>
        </w:rPr>
        <w:t xml:space="preserve">EXAMPLE</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color w:val="52514E"/>
          <w:sz w:val="20"/>
          <w:szCs w:val="20"/>
        </w:rPr>
        <w:t xml:space="preserve">A group has no dental cover, and nineteen of its members have rung this year asking about dental. That is not a cold pitch.</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b/>
          <w:bCs/>
          <w:color w:val="7A7871"/>
          <w:spacing w:val="20"/>
          <w:sz w:val="16"/>
          <w:szCs w:val="16"/>
        </w:rPr>
        <w:t xml:space="preserve">On the dashboard</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25 groups carry no dental line; 19 of them had members call about dental topics (AP)</w:t>
      </w:r>
    </w:p>
    <w:p>
      <w:pPr>
        <w:keepNext/>
        <w:keepLines/>
        <w:pBdr>
          <w:top w:val="nil"/>
          <w:bottom w:val="nil"/>
          <w:left w:val="single" w:color="1C5CAB" w:sz="18" w:space="10"/>
          <w:right w:val="nil"/>
        </w:pBdr>
        <w:shd w:fill="F4F5F2" w:color="auto" w:val="clear"/>
        <w:spacing w:after="0" w:line="276"/>
        <w:ind w:left="604" w:right="144" w:hanging="374"/>
      </w:pPr>
      <w:r>
        <w:rPr>
          <w:rFonts w:ascii="Calibri" w:cs="Calibri" w:eastAsia="Calibri" w:hAnsi="Calibri"/>
          <w:color w:val="1C5CAB"/>
          <w:sz w:val="20"/>
          <w:szCs w:val="20"/>
        </w:rPr>
        <w:t xml:space="preserve">—   </w:t>
      </w:r>
      <w:r>
        <w:rPr>
          <w:rFonts w:ascii="Calibri" w:cs="Calibri" w:eastAsia="Calibri" w:hAnsi="Calibri"/>
          <w:color w:val="52514E"/>
          <w:sz w:val="20"/>
          <w:szCs w:val="20"/>
        </w:rPr>
        <w:t xml:space="preserve">Passed to the broker as an opportunity rather than actioned directly — the broker owns the relationship</w:t>
      </w:r>
    </w:p>
    <w:p>
      <w:pPr>
        <w:keepNext/>
        <w:keepLines/>
        <w:pBdr>
          <w:top w:val="nil"/>
          <w:bottom w:val="nil"/>
          <w:left w:val="single" w:color="1C5CAB" w:sz="18" w:space="10"/>
          <w:right w:val="nil"/>
        </w:pBdr>
        <w:shd w:fill="F4F5F2" w:color="auto" w:val="clear"/>
        <w:spacing w:after="0" w:before="0" w:line="276"/>
        <w:ind w:left="230" w:right="144"/>
      </w:pPr>
      <w:r>
        <w:rPr>
          <w:rFonts w:ascii="Calibri" w:cs="Calibri" w:eastAsia="Calibri" w:hAnsi="Calibri"/>
          <w:sz w:val="8"/>
          <w:szCs w:val="8"/>
        </w:rPr>
        <w:t xml:space="preserve"/>
      </w:r>
    </w:p>
    <w:p>
      <w:r>
        <w:br w:type="page"/>
      </w:r>
    </w:p>
    <w:p>
      <w:pPr>
        <w:pStyle w:val="Heading1"/>
        <w:spacing w:after="180" w:before="360"/>
      </w:pPr>
      <w:r>
        <w:rPr>
          <w:rFonts w:ascii="Calibri" w:cs="Calibri" w:eastAsia="Calibri" w:hAnsi="Calibri"/>
          <w:b/>
          <w:bCs/>
          <w:color w:val="1A1A19"/>
          <w:sz w:val="30"/>
          <w:szCs w:val="30"/>
        </w:rPr>
        <w:t xml:space="preserve">Rules the system holds itself to</w:t>
      </w:r>
    </w:p>
    <w:p>
      <w:pPr>
        <w:spacing w:after="160" w:line="288"/>
      </w:pPr>
      <w:r>
        <w:rPr>
          <w:rFonts w:ascii="Calibri" w:cs="Calibri" w:eastAsia="Calibri" w:hAnsi="Calibri"/>
          <w:color w:val="52514E"/>
          <w:sz w:val="21"/>
          <w:szCs w:val="21"/>
        </w:rPr>
        <w:t xml:space="preserve">Design commitments rather than features, carried from both builds. They are the reason the output can be trusted in a room where somebody's work is being criticised.</w:t>
      </w:r>
    </w:p>
    <w:p>
      <w:pPr>
        <w:keepNext/>
        <w:spacing w:after="50" w:before="200"/>
      </w:pPr>
      <w:r>
        <w:rPr>
          <w:rFonts w:ascii="Calibri" w:cs="Calibri" w:eastAsia="Calibri" w:hAnsi="Calibri"/>
          <w:b/>
          <w:bCs/>
          <w:color w:val="1A1A19"/>
          <w:sz w:val="21"/>
          <w:szCs w:val="21"/>
        </w:rPr>
        <w:t xml:space="preserve">Epistemic chips on every figure</w:t>
      </w:r>
      <w:r>
        <w:rPr>
          <w:rFonts w:ascii="Calibri" w:cs="Calibri" w:eastAsia="Calibri" w:hAnsi="Calibri"/>
          <w:b/>
          <w:bCs/>
          <w:color w:val="3E3192"/>
          <w:spacing w:val="20"/>
          <w:sz w:val="15"/>
          <w:szCs w:val="15"/>
        </w:rPr>
        <w:t xml:space="preserve">   Account Signals</w:t>
      </w:r>
    </w:p>
    <w:p>
      <w:pPr>
        <w:pBdr>
          <w:left w:val="single" w:color="3E3192" w:sz="12" w:space="10"/>
        </w:pBdr>
        <w:spacing w:after="60" w:line="288"/>
        <w:ind w:left="230"/>
      </w:pPr>
      <w:r>
        <w:rPr>
          <w:rFonts w:ascii="Calibri" w:cs="Calibri" w:eastAsia="Calibri" w:hAnsi="Calibri"/>
          <w:color w:val="52514E"/>
          <w:sz w:val="20"/>
          <w:szCs w:val="20"/>
        </w:rPr>
        <w:t xml:space="preserve">Every claim carries a chip saying what kind of claim it is: observed, reference, derived, pattern, inference or recommendation. It is the mechanism that lets a system be blunt without overclaiming — an inference labelled as an inference is not a credibility failure when it turns out wrong.</w:t>
      </w:r>
    </w:p>
    <w:p>
      <w:pPr>
        <w:keepNext/>
        <w:spacing w:after="50" w:before="200"/>
      </w:pPr>
      <w:r>
        <w:rPr>
          <w:rFonts w:ascii="Calibri" w:cs="Calibri" w:eastAsia="Calibri" w:hAnsi="Calibri"/>
          <w:b/>
          <w:bCs/>
          <w:color w:val="1A1A19"/>
          <w:sz w:val="21"/>
          <w:szCs w:val="21"/>
        </w:rPr>
        <w:t xml:space="preserve">Minimum-n suppression, implemented</w:t>
      </w:r>
      <w:r>
        <w:rPr>
          <w:rFonts w:ascii="Calibri" w:cs="Calibri" w:eastAsia="Calibri" w:hAnsi="Calibri"/>
          <w:b/>
          <w:bCs/>
          <w:color w:val="3E3192"/>
          <w:spacing w:val="20"/>
          <w:sz w:val="15"/>
          <w:szCs w:val="15"/>
        </w:rPr>
        <w:t xml:space="preserve">   Account Signals</w:t>
      </w:r>
    </w:p>
    <w:p>
      <w:pPr>
        <w:pBdr>
          <w:left w:val="single" w:color="3E3192" w:sz="12" w:space="10"/>
        </w:pBdr>
        <w:spacing w:after="60" w:line="288"/>
        <w:ind w:left="230"/>
      </w:pPr>
      <w:r>
        <w:rPr>
          <w:rFonts w:ascii="Calibri" w:cs="Calibri" w:eastAsia="Calibri" w:hAnsi="Calibri"/>
          <w:color w:val="52514E"/>
          <w:sz w:val="20"/>
          <w:szCs w:val="20"/>
        </w:rPr>
        <w:t xml:space="preserve">No rate published below five calls. A suppressed cell renders as a dash with the count in its tooltip, and a withheld figure gets its own tile style, distinct from zero — because zero reads as “nothing is getting better” when the truth is “we cannot yet tell”.</w:t>
      </w:r>
    </w:p>
    <w:p>
      <w:pPr>
        <w:keepNext/>
        <w:spacing w:after="50" w:before="200"/>
      </w:pPr>
      <w:r>
        <w:rPr>
          <w:rFonts w:ascii="Calibri" w:cs="Calibri" w:eastAsia="Calibri" w:hAnsi="Calibri"/>
          <w:b/>
          <w:bCs/>
          <w:color w:val="1A1A19"/>
          <w:sz w:val="21"/>
          <w:szCs w:val="21"/>
        </w:rPr>
        <w:t xml:space="preserve">Shareable view state</w:t>
      </w:r>
      <w:r>
        <w:rPr>
          <w:rFonts w:ascii="Calibri" w:cs="Calibri" w:eastAsia="Calibri" w:hAnsi="Calibri"/>
          <w:b/>
          <w:bCs/>
          <w:color w:val="3E3192"/>
          <w:spacing w:val="20"/>
          <w:sz w:val="15"/>
          <w:szCs w:val="15"/>
        </w:rPr>
        <w:t xml:space="preserve">   Account Signals</w:t>
      </w:r>
    </w:p>
    <w:p>
      <w:pPr>
        <w:pBdr>
          <w:left w:val="single" w:color="3E3192" w:sz="12" w:space="10"/>
        </w:pBdr>
        <w:spacing w:after="60" w:line="288"/>
        <w:ind w:left="230"/>
      </w:pPr>
      <w:r>
        <w:rPr>
          <w:rFonts w:ascii="Calibri" w:cs="Calibri" w:eastAsia="Calibri" w:hAnsi="Calibri"/>
          <w:color w:val="52514E"/>
          <w:sz w:val="20"/>
          <w:szCs w:val="20"/>
        </w:rPr>
        <w:t xml:space="preserve">Every filter lives in the URL and in browser storage, with a copy-link button, so a link reproduces the sender's view rather than the recipient's last filters.</w:t>
      </w:r>
    </w:p>
    <w:p>
      <w:pPr>
        <w:keepNext/>
        <w:spacing w:after="50" w:before="200"/>
      </w:pPr>
      <w:r>
        <w:rPr>
          <w:rFonts w:ascii="Calibri" w:cs="Calibri" w:eastAsia="Calibri" w:hAnsi="Calibri"/>
          <w:b/>
          <w:bCs/>
          <w:color w:val="1A1A19"/>
          <w:sz w:val="21"/>
          <w:szCs w:val="21"/>
        </w:rPr>
        <w:t xml:space="preserve">Guarding against circularity</w:t>
      </w:r>
      <w:r>
        <w:rPr>
          <w:rFonts w:ascii="Calibri" w:cs="Calibri" w:eastAsia="Calibri" w:hAnsi="Calibri"/>
          <w:b/>
          <w:bCs/>
          <w:color w:val="3E3192"/>
          <w:spacing w:val="20"/>
          <w:sz w:val="15"/>
          <w:szCs w:val="15"/>
        </w:rPr>
        <w:t xml:space="preserve">   Account Signals</w:t>
      </w:r>
    </w:p>
    <w:p>
      <w:pPr>
        <w:pBdr>
          <w:left w:val="single" w:color="3E3192" w:sz="12" w:space="10"/>
        </w:pBdr>
        <w:spacing w:after="60" w:line="288"/>
        <w:ind w:left="230"/>
      </w:pPr>
      <w:r>
        <w:rPr>
          <w:rFonts w:ascii="Calibri" w:cs="Calibri" w:eastAsia="Calibri" w:hAnsi="Calibri"/>
          <w:color w:val="52514E"/>
          <w:sz w:val="20"/>
          <w:szCs w:val="20"/>
        </w:rPr>
        <w:t xml:space="preserve">The design churn profile the corpus was generated from is deliberately excluded from the risk band. Scoring an account on the label that produced it would be circular. The same discipline needs applying to the attribution build's calibration panel.</w:t>
      </w:r>
    </w:p>
    <w:p>
      <w:pPr>
        <w:keepNext/>
        <w:spacing w:after="50" w:before="200"/>
      </w:pPr>
      <w:r>
        <w:rPr>
          <w:rFonts w:ascii="Calibri" w:cs="Calibri" w:eastAsia="Calibri" w:hAnsi="Calibri"/>
          <w:b/>
          <w:bCs/>
          <w:color w:val="1A1A19"/>
          <w:sz w:val="21"/>
          <w:szCs w:val="21"/>
        </w:rPr>
        <w:t xml:space="preserve">Every attributed fault carries its quote</w:t>
      </w:r>
      <w:r>
        <w:rPr>
          <w:rFonts w:ascii="Calibri" w:cs="Calibri" w:eastAsia="Calibri" w:hAnsi="Calibri"/>
          <w:b/>
          <w:bCs/>
          <w:color w:val="1C5CAB"/>
          <w:spacing w:val="20"/>
          <w:sz w:val="15"/>
          <w:szCs w:val="15"/>
        </w:rPr>
        <w:t xml:space="preserve">   Attribution prototype</w:t>
      </w:r>
    </w:p>
    <w:p>
      <w:pPr>
        <w:pBdr>
          <w:left w:val="single" w:color="1C5CAB" w:sz="12" w:space="10"/>
        </w:pBdr>
        <w:spacing w:after="60" w:line="288"/>
        <w:ind w:left="230"/>
      </w:pPr>
      <w:r>
        <w:rPr>
          <w:rFonts w:ascii="Calibri" w:cs="Calibri" w:eastAsia="Calibri" w:hAnsi="Calibri"/>
          <w:color w:val="52514E"/>
          <w:sz w:val="20"/>
          <w:szCs w:val="20"/>
        </w:rPr>
        <w:t xml:space="preserve">A number that cannot produce the sentence behind it does not go on a screen. This is what survives the meeting where a broker disputes the finding.</w:t>
      </w:r>
    </w:p>
    <w:p>
      <w:pPr>
        <w:keepNext/>
        <w:spacing w:after="50" w:before="200"/>
      </w:pPr>
      <w:r>
        <w:rPr>
          <w:rFonts w:ascii="Calibri" w:cs="Calibri" w:eastAsia="Calibri" w:hAnsi="Calibri"/>
          <w:b/>
          <w:bCs/>
          <w:color w:val="1A1A19"/>
          <w:sz w:val="21"/>
          <w:szCs w:val="21"/>
        </w:rPr>
        <w:t xml:space="preserve">We are a party like any other</w:t>
      </w:r>
      <w:r>
        <w:rPr>
          <w:rFonts w:ascii="Calibri" w:cs="Calibri" w:eastAsia="Calibri" w:hAnsi="Calibri"/>
          <w:b/>
          <w:bCs/>
          <w:color w:val="1C5CAB"/>
          <w:spacing w:val="20"/>
          <w:sz w:val="15"/>
          <w:szCs w:val="15"/>
        </w:rPr>
        <w:t xml:space="preserve">   Attribution prototype</w:t>
      </w:r>
    </w:p>
    <w:p>
      <w:pPr>
        <w:pBdr>
          <w:left w:val="single" w:color="1C5CAB" w:sz="12" w:space="10"/>
        </w:pBdr>
        <w:spacing w:after="60" w:line="288"/>
        <w:ind w:left="230"/>
      </w:pPr>
      <w:r>
        <w:rPr>
          <w:rFonts w:ascii="Calibri" w:cs="Calibri" w:eastAsia="Calibri" w:hAnsi="Calibri"/>
          <w:color w:val="52514E"/>
          <w:sz w:val="20"/>
          <w:szCs w:val="20"/>
        </w:rPr>
        <w:t xml:space="preserve">The same rules apply to our own documents as to a broker's, and our share is the first thing the demand screen shows. Filters slice, they never hide: a filtered view still states what it is a slice of.</w:t>
      </w:r>
    </w:p>
    <w:p>
      <w:pPr>
        <w:keepNext/>
        <w:spacing w:after="50" w:before="200"/>
      </w:pPr>
      <w:r>
        <w:rPr>
          <w:rFonts w:ascii="Calibri" w:cs="Calibri" w:eastAsia="Calibri" w:hAnsi="Calibri"/>
          <w:b/>
          <w:bCs/>
          <w:color w:val="1A1A19"/>
          <w:sz w:val="21"/>
          <w:szCs w:val="21"/>
        </w:rPr>
        <w:t xml:space="preserve">Computed caveats</w:t>
      </w:r>
      <w:r>
        <w:rPr>
          <w:rFonts w:ascii="Calibri" w:cs="Calibri" w:eastAsia="Calibri" w:hAnsi="Calibri"/>
          <w:b/>
          <w:bCs/>
          <w:color w:val="1C5CAB"/>
          <w:spacing w:val="20"/>
          <w:sz w:val="15"/>
          <w:szCs w:val="15"/>
        </w:rPr>
        <w:t xml:space="preserve">   Attribution prototype</w:t>
      </w:r>
    </w:p>
    <w:p>
      <w:pPr>
        <w:pBdr>
          <w:left w:val="single" w:color="1C5CAB" w:sz="12" w:space="10"/>
        </w:pBdr>
        <w:spacing w:after="60" w:line="288"/>
        <w:ind w:left="230"/>
      </w:pPr>
      <w:r>
        <w:rPr>
          <w:rFonts w:ascii="Calibri" w:cs="Calibri" w:eastAsia="Calibri" w:hAnsi="Calibri"/>
          <w:color w:val="52514E"/>
          <w:sz w:val="20"/>
          <w:szCs w:val="20"/>
        </w:rPr>
        <w:t xml:space="preserve">The calibration note names whichever pair of risk bands fails to separate and whichever band is too small to trust, automatically. Nobody edits it when the numbers become inconvenient, which is the only reason to believe it.</w:t>
      </w:r>
    </w:p>
    <w:p>
      <w:pPr>
        <w:spacing w:after="160"/>
      </w:pPr>
      <w:r>
        <w:rPr>
          <w:rFonts w:ascii="Calibri" w:cs="Calibri" w:eastAsia="Calibri" w:hAnsi="Calibri"/>
          <w:sz w:val="12"/>
          <w:szCs w:val="12"/>
        </w:rPr>
        <w:t xml:space="preserve"/>
      </w:r>
    </w:p>
    <w:p>
      <w:pPr>
        <w:spacing w:after="160" w:line="288"/>
      </w:pPr>
      <w:r>
        <w:rPr>
          <w:rFonts w:ascii="Calibri" w:cs="Calibri" w:eastAsia="Calibri" w:hAnsi="Calibri"/>
          <w:color w:val="52514E"/>
          <w:sz w:val="21"/>
          <w:szCs w:val="21"/>
        </w:rPr>
        <w:t xml:space="preserve">And four things it deliberately does not do. It does not decide — no group is labelled as leaving and no broker as bad. It does not predict; the bands are counts of observed conditions. It does not claim causation; the one fix measured is presented as a before-and-after with the caveat attached. And it is not a call-centre dashboard: handle time appears nowhere as a target, and every screen is about the book rather than the queue.</w:t>
      </w:r>
    </w:p>
    <w:p>
      <w:pPr>
        <w:spacing w:after="160" w:line="288"/>
      </w:pPr>
      <w:r>
        <w:rPr>
          <w:rFonts w:ascii="Calibri" w:cs="Calibri" w:eastAsia="Calibri" w:hAnsi="Calibri"/>
          <w:color w:val="52514E"/>
          <w:sz w:val="21"/>
          <w:szCs w:val="21"/>
        </w:rPr>
        <w:t xml:space="preserve">The system's job is to be something a person can cite when they make a decision. The decision stays with the person whose name is on the account.</w:t>
      </w:r>
    </w:p>
    <w:p>
      <w:pPr>
        <w:pStyle w:val="Heading1"/>
        <w:spacing w:after="180" w:before="360"/>
      </w:pPr>
      <w:r>
        <w:rPr>
          <w:rFonts w:ascii="Calibri" w:cs="Calibri" w:eastAsia="Calibri" w:hAnsi="Calibri"/>
          <w:b/>
          <w:bCs/>
          <w:color w:val="1A1A19"/>
          <w:sz w:val="30"/>
          <w:szCs w:val="30"/>
        </w:rPr>
        <w:t xml:space="preserve">What neither build can do yet</w:t>
      </w:r>
    </w:p>
    <w:p>
      <w:pPr>
        <w:spacing w:after="160" w:line="288"/>
      </w:pPr>
      <w:r>
        <w:rPr>
          <w:rFonts w:ascii="Calibri" w:cs="Calibri" w:eastAsia="Calibri" w:hAnsi="Calibri"/>
          <w:color w:val="52514E"/>
          <w:sz w:val="21"/>
          <w:szCs w:val="21"/>
        </w:rPr>
        <w:t xml:space="preserve">Nine gaps. None is a reason to drop an insight from the list; they are the shopping list that comes out of having made the list in the first place. The first two — renewal outcomes and carrier as a field on the call — are worth more than the other seven combined.</w:t>
      </w:r>
    </w:p>
    <w:tbl>
      <w:tblPr>
        <w:tblW w:type="dxa" w:w="9360"/>
        <w:tblBorders>
          <w:top w:val="single" w:color="D8D7D0" w:sz="4"/>
          <w:left w:val="nil"/>
          <w:bottom w:val="single" w:color="D8D7D0" w:sz="4"/>
          <w:right w:val="nil"/>
          <w:insideH w:val="single" w:color="D8D7D0" w:sz="2"/>
          <w:insideV w:val="nil"/>
        </w:tblBorders>
      </w:tblPr>
      <w:tblGrid>
        <w:gridCol w:w="3100"/>
        <w:gridCol w:w="3300"/>
        <w:gridCol w:w="2960"/>
      </w:tblGrid>
      <w:tr>
        <w:trPr>
          <w:tblHeader/>
        </w:trPr>
        <w:tc>
          <w:tcPr>
            <w:tcW w:type="dxa" w:w="3100"/>
            <w:shd w:fill="EDEEEA" w:color="auto" w:val="clear"/>
            <w:tcMar>
              <w:top w:type="dxa" w:w="90"/>
              <w:left w:type="dxa" w:w="120"/>
              <w:bottom w:type="dxa" w:w="90"/>
              <w:right w:type="dxa" w:w="120"/>
            </w:tcMar>
          </w:tcPr>
          <w:p>
            <w:r>
              <w:rPr>
                <w:rFonts w:ascii="Calibri" w:cs="Calibri" w:eastAsia="Calibri" w:hAnsi="Calibri"/>
                <w:b/>
                <w:bCs/>
                <w:color w:val="1A1A19"/>
                <w:sz w:val="17"/>
                <w:szCs w:val="17"/>
              </w:rPr>
              <w:t xml:space="preserve">What is missing</w:t>
            </w:r>
          </w:p>
        </w:tc>
        <w:tc>
          <w:tcPr>
            <w:tcW w:type="dxa" w:w="3300"/>
            <w:shd w:fill="EDEEEA" w:color="auto" w:val="clear"/>
            <w:tcMar>
              <w:top w:type="dxa" w:w="90"/>
              <w:left w:type="dxa" w:w="120"/>
              <w:bottom w:type="dxa" w:w="90"/>
              <w:right w:type="dxa" w:w="120"/>
            </w:tcMar>
          </w:tcPr>
          <w:p>
            <w:r>
              <w:rPr>
                <w:rFonts w:ascii="Calibri" w:cs="Calibri" w:eastAsia="Calibri" w:hAnsi="Calibri"/>
                <w:b/>
                <w:bCs/>
                <w:color w:val="1A1A19"/>
                <w:sz w:val="17"/>
                <w:szCs w:val="17"/>
              </w:rPr>
              <w:t xml:space="preserve">What it unlocks</w:t>
            </w:r>
          </w:p>
        </w:tc>
        <w:tc>
          <w:tcPr>
            <w:tcW w:type="dxa" w:w="2960"/>
            <w:shd w:fill="EDEEEA" w:color="auto" w:val="clear"/>
            <w:tcMar>
              <w:top w:type="dxa" w:w="90"/>
              <w:left w:type="dxa" w:w="120"/>
              <w:bottom w:type="dxa" w:w="90"/>
              <w:right w:type="dxa" w:w="120"/>
            </w:tcMar>
          </w:tcPr>
          <w:p>
            <w:r>
              <w:rPr>
                <w:rFonts w:ascii="Calibri" w:cs="Calibri" w:eastAsia="Calibri" w:hAnsi="Calibri"/>
                <w:b/>
                <w:bCs/>
                <w:color w:val="1A1A19"/>
                <w:sz w:val="17"/>
                <w:szCs w:val="17"/>
              </w:rPr>
              <w:t xml:space="preserve">Without it</w:t>
            </w:r>
          </w:p>
        </w:tc>
      </w:tr>
      <w:tr>
        <w:tc>
          <w:tcPr>
            <w:tcW w:type="dxa" w:w="3100"/>
            <w:tcMar>
              <w:top w:type="dxa" w:w="90"/>
              <w:left w:type="dxa" w:w="120"/>
              <w:bottom w:type="dxa" w:w="90"/>
              <w:right w:type="dxa" w:w="120"/>
            </w:tcMar>
          </w:tcPr>
          <w:p>
            <w:pPr>
              <w:spacing w:line="264"/>
            </w:pPr>
            <w:r>
              <w:rPr>
                <w:rFonts w:ascii="Calibri" w:cs="Calibri" w:eastAsia="Calibri" w:hAnsi="Calibri"/>
                <w:color w:val="1A1A19"/>
                <w:sz w:val="18"/>
                <w:szCs w:val="18"/>
              </w:rPr>
              <w:t xml:space="preserve">Renewal outcomes per group, at least one prior year</w:t>
            </w:r>
          </w:p>
        </w:tc>
        <w:tc>
          <w:tcPr>
            <w:tcW w:type="dxa" w:w="3300"/>
            <w:tcMar>
              <w:top w:type="dxa" w:w="90"/>
              <w:left w:type="dxa" w:w="120"/>
              <w:bottom w:type="dxa" w:w="90"/>
              <w:right w:type="dxa" w:w="120"/>
            </w:tcMar>
          </w:tcPr>
          <w:p>
            <w:pPr>
              <w:spacing w:line="264"/>
            </w:pPr>
            <w:r>
              <w:rPr>
                <w:rFonts w:ascii="Calibri" w:cs="Calibri" w:eastAsia="Calibri" w:hAnsi="Calibri"/>
                <w:color w:val="52514E"/>
                <w:sz w:val="18"/>
                <w:szCs w:val="18"/>
              </w:rPr>
              <w:t xml:space="preserve">The calibration panel, and with it every claim the risk bands make</w:t>
            </w:r>
          </w:p>
        </w:tc>
        <w:tc>
          <w:tcPr>
            <w:tcW w:type="dxa" w:w="2960"/>
            <w:tcMar>
              <w:top w:type="dxa" w:w="90"/>
              <w:left w:type="dxa" w:w="120"/>
              <w:bottom w:type="dxa" w:w="90"/>
              <w:right w:type="dxa" w:w="120"/>
            </w:tcMar>
          </w:tcPr>
          <w:p>
            <w:pPr>
              <w:spacing w:line="264"/>
            </w:pPr>
            <w:r>
              <w:rPr>
                <w:rFonts w:ascii="Calibri" w:cs="Calibri" w:eastAsia="Calibri" w:hAnsi="Calibri"/>
                <w:color w:val="52514E"/>
                <w:sz w:val="18"/>
                <w:szCs w:val="18"/>
              </w:rPr>
              <w:t xml:space="preserve">The bands are unvalidated opinion with a number attached</w:t>
            </w:r>
          </w:p>
        </w:tc>
      </w:tr>
      <w:tr>
        <w:tc>
          <w:tcPr>
            <w:tcW w:type="dxa" w:w="3100"/>
            <w:tcMar>
              <w:top w:type="dxa" w:w="90"/>
              <w:left w:type="dxa" w:w="120"/>
              <w:bottom w:type="dxa" w:w="90"/>
              <w:right w:type="dxa" w:w="120"/>
            </w:tcMar>
          </w:tcPr>
          <w:p>
            <w:pPr>
              <w:spacing w:line="264"/>
            </w:pPr>
            <w:r>
              <w:rPr>
                <w:rFonts w:ascii="Calibri" w:cs="Calibri" w:eastAsia="Calibri" w:hAnsi="Calibri"/>
                <w:color w:val="1A1A19"/>
                <w:sz w:val="18"/>
                <w:szCs w:val="18"/>
              </w:rPr>
              <w:t xml:space="preserve">Carrier as a first-class field on the call, line and claim</w:t>
            </w:r>
          </w:p>
        </w:tc>
        <w:tc>
          <w:tcPr>
            <w:tcW w:type="dxa" w:w="3300"/>
            <w:tcMar>
              <w:top w:type="dxa" w:w="90"/>
              <w:left w:type="dxa" w:w="120"/>
              <w:bottom w:type="dxa" w:w="90"/>
              <w:right w:type="dxa" w:w="120"/>
            </w:tcMar>
          </w:tcPr>
          <w:p>
            <w:pPr>
              <w:spacing w:line="264"/>
            </w:pPr>
            <w:r>
              <w:rPr>
                <w:rFonts w:ascii="Calibri" w:cs="Calibri" w:eastAsia="Calibri" w:hAnsi="Calibri"/>
                <w:color w:val="52514E"/>
                <w:sz w:val="18"/>
                <w:szCs w:val="18"/>
              </w:rPr>
              <w:t xml:space="preserve">The carrier scorecard as something you could take to a carrier</w:t>
            </w:r>
          </w:p>
        </w:tc>
        <w:tc>
          <w:tcPr>
            <w:tcW w:type="dxa" w:w="2960"/>
            <w:tcMar>
              <w:top w:type="dxa" w:w="90"/>
              <w:left w:type="dxa" w:w="120"/>
              <w:bottom w:type="dxa" w:w="90"/>
              <w:right w:type="dxa" w:w="120"/>
            </w:tcMar>
          </w:tcPr>
          <w:p>
            <w:pPr>
              <w:spacing w:line="264"/>
            </w:pPr>
            <w:r>
              <w:rPr>
                <w:rFonts w:ascii="Calibri" w:cs="Calibri" w:eastAsia="Calibri" w:hAnsi="Calibri"/>
                <w:color w:val="52514E"/>
                <w:sz w:val="18"/>
                <w:szCs w:val="18"/>
              </w:rPr>
              <w:t xml:space="preserve">Inferred from the group's coverage — fine to rank, not fine to present</w:t>
            </w:r>
          </w:p>
        </w:tc>
      </w:tr>
      <w:tr>
        <w:tc>
          <w:tcPr>
            <w:tcW w:type="dxa" w:w="3100"/>
            <w:tcMar>
              <w:top w:type="dxa" w:w="90"/>
              <w:left w:type="dxa" w:w="120"/>
              <w:bottom w:type="dxa" w:w="90"/>
              <w:right w:type="dxa" w:w="120"/>
            </w:tcMar>
          </w:tcPr>
          <w:p>
            <w:pPr>
              <w:spacing w:line="264"/>
            </w:pPr>
            <w:r>
              <w:rPr>
                <w:rFonts w:ascii="Calibri" w:cs="Calibri" w:eastAsia="Calibri" w:hAnsi="Calibri"/>
                <w:color w:val="1A1A19"/>
                <w:sz w:val="18"/>
                <w:szCs w:val="18"/>
              </w:rPr>
              <w:t xml:space="preserve">Fully loaded cost per call</w:t>
            </w:r>
          </w:p>
        </w:tc>
        <w:tc>
          <w:tcPr>
            <w:tcW w:type="dxa" w:w="3300"/>
            <w:tcMar>
              <w:top w:type="dxa" w:w="90"/>
              <w:left w:type="dxa" w:w="120"/>
              <w:bottom w:type="dxa" w:w="90"/>
              <w:right w:type="dxa" w:w="120"/>
            </w:tcMar>
          </w:tcPr>
          <w:p>
            <w:pPr>
              <w:spacing w:line="264"/>
            </w:pPr>
            <w:r>
              <w:rPr>
                <w:rFonts w:ascii="Calibri" w:cs="Calibri" w:eastAsia="Calibri" w:hAnsi="Calibri"/>
                <w:color w:val="52514E"/>
                <w:sz w:val="18"/>
                <w:szCs w:val="18"/>
              </w:rPr>
              <w:t xml:space="preserve">Every money figure on the demand screen</w:t>
            </w:r>
          </w:p>
        </w:tc>
        <w:tc>
          <w:tcPr>
            <w:tcW w:type="dxa" w:w="2960"/>
            <w:tcMar>
              <w:top w:type="dxa" w:w="90"/>
              <w:left w:type="dxa" w:w="120"/>
              <w:bottom w:type="dxa" w:w="90"/>
              <w:right w:type="dxa" w:w="120"/>
            </w:tcMar>
          </w:tcPr>
          <w:p>
            <w:pPr>
              <w:spacing w:line="264"/>
            </w:pPr>
            <w:r>
              <w:rPr>
                <w:rFonts w:ascii="Calibri" w:cs="Calibri" w:eastAsia="Calibri" w:hAnsi="Calibri"/>
                <w:color w:val="52514E"/>
                <w:sz w:val="18"/>
                <w:szCs w:val="18"/>
              </w:rPr>
              <w:t xml:space="preserve">Volume only, which is harder to act on and easier to ignore</w:t>
            </w:r>
          </w:p>
        </w:tc>
      </w:tr>
      <w:tr>
        <w:tc>
          <w:tcPr>
            <w:tcW w:type="dxa" w:w="3100"/>
            <w:tcMar>
              <w:top w:type="dxa" w:w="90"/>
              <w:left w:type="dxa" w:w="120"/>
              <w:bottom w:type="dxa" w:w="90"/>
              <w:right w:type="dxa" w:w="120"/>
            </w:tcMar>
          </w:tcPr>
          <w:p>
            <w:pPr>
              <w:spacing w:line="264"/>
            </w:pPr>
            <w:r>
              <w:rPr>
                <w:rFonts w:ascii="Calibri" w:cs="Calibri" w:eastAsia="Calibri" w:hAnsi="Calibri"/>
                <w:color w:val="1A1A19"/>
                <w:sz w:val="18"/>
                <w:szCs w:val="18"/>
              </w:rPr>
              <w:t xml:space="preserve">Placement volume and commission per broker</w:t>
            </w:r>
          </w:p>
        </w:tc>
        <w:tc>
          <w:tcPr>
            <w:tcW w:type="dxa" w:w="3300"/>
            <w:tcMar>
              <w:top w:type="dxa" w:w="90"/>
              <w:left w:type="dxa" w:w="120"/>
              <w:bottom w:type="dxa" w:w="90"/>
              <w:right w:type="dxa" w:w="120"/>
            </w:tcMar>
          </w:tcPr>
          <w:p>
            <w:pPr>
              <w:spacing w:line="264"/>
            </w:pPr>
            <w:r>
              <w:rPr>
                <w:rFonts w:ascii="Calibri" w:cs="Calibri" w:eastAsia="Calibri" w:hAnsi="Calibri"/>
                <w:color w:val="52514E"/>
                <w:sz w:val="18"/>
                <w:szCs w:val="18"/>
              </w:rPr>
              <w:t xml:space="preserve">Ranking relationships by revenue at stake rather than by lives</w:t>
            </w:r>
          </w:p>
        </w:tc>
        <w:tc>
          <w:tcPr>
            <w:tcW w:type="dxa" w:w="2960"/>
            <w:tcMar>
              <w:top w:type="dxa" w:w="90"/>
              <w:left w:type="dxa" w:w="120"/>
              <w:bottom w:type="dxa" w:w="90"/>
              <w:right w:type="dxa" w:w="120"/>
            </w:tcMar>
          </w:tcPr>
          <w:p>
            <w:pPr>
              <w:spacing w:line="264"/>
            </w:pPr>
            <w:r>
              <w:rPr>
                <w:rFonts w:ascii="Calibri" w:cs="Calibri" w:eastAsia="Calibri" w:hAnsi="Calibri"/>
                <w:color w:val="52514E"/>
                <w:sz w:val="18"/>
                <w:szCs w:val="18"/>
              </w:rPr>
              <w:t xml:space="preserve">Lives is standing in for revenue, and it is a poor stand-in</w:t>
            </w:r>
          </w:p>
        </w:tc>
      </w:tr>
      <w:tr>
        <w:tc>
          <w:tcPr>
            <w:tcW w:type="dxa" w:w="3100"/>
            <w:tcMar>
              <w:top w:type="dxa" w:w="90"/>
              <w:left w:type="dxa" w:w="120"/>
              <w:bottom w:type="dxa" w:w="90"/>
              <w:right w:type="dxa" w:w="120"/>
            </w:tcMar>
          </w:tcPr>
          <w:p>
            <w:pPr>
              <w:spacing w:line="264"/>
            </w:pPr>
            <w:r>
              <w:rPr>
                <w:rFonts w:ascii="Calibri" w:cs="Calibri" w:eastAsia="Calibri" w:hAnsi="Calibri"/>
                <w:color w:val="1A1A19"/>
                <w:sz w:val="18"/>
                <w:szCs w:val="18"/>
              </w:rPr>
              <w:t xml:space="preserve">Email and portal contact volume</w:t>
            </w:r>
          </w:p>
        </w:tc>
        <w:tc>
          <w:tcPr>
            <w:tcW w:type="dxa" w:w="3300"/>
            <w:tcMar>
              <w:top w:type="dxa" w:w="90"/>
              <w:left w:type="dxa" w:w="120"/>
              <w:bottom w:type="dxa" w:w="90"/>
              <w:right w:type="dxa" w:w="120"/>
            </w:tcMar>
          </w:tcPr>
          <w:p>
            <w:pPr>
              <w:spacing w:line="264"/>
            </w:pPr>
            <w:r>
              <w:rPr>
                <w:rFonts w:ascii="Calibri" w:cs="Calibri" w:eastAsia="Calibri" w:hAnsi="Calibri"/>
                <w:color w:val="52514E"/>
                <w:sz w:val="18"/>
                <w:szCs w:val="18"/>
              </w:rPr>
              <w:t xml:space="preserve">A complete picture of who is struggling</w:t>
            </w:r>
          </w:p>
        </w:tc>
        <w:tc>
          <w:tcPr>
            <w:tcW w:type="dxa" w:w="2960"/>
            <w:tcMar>
              <w:top w:type="dxa" w:w="90"/>
              <w:left w:type="dxa" w:w="120"/>
              <w:bottom w:type="dxa" w:w="90"/>
              <w:right w:type="dxa" w:w="120"/>
            </w:tcMar>
          </w:tcPr>
          <w:p>
            <w:pPr>
              <w:spacing w:line="264"/>
            </w:pPr>
            <w:r>
              <w:rPr>
                <w:rFonts w:ascii="Calibri" w:cs="Calibri" w:eastAsia="Calibri" w:hAnsi="Calibri"/>
                <w:color w:val="52514E"/>
                <w:sz w:val="18"/>
                <w:szCs w:val="18"/>
              </w:rPr>
              <w:t xml:space="preserve">Call volume is a biased sample and the cost figure is understated</w:t>
            </w:r>
          </w:p>
        </w:tc>
      </w:tr>
      <w:tr>
        <w:tc>
          <w:tcPr>
            <w:tcW w:type="dxa" w:w="3100"/>
            <w:tcMar>
              <w:top w:type="dxa" w:w="90"/>
              <w:left w:type="dxa" w:w="120"/>
              <w:bottom w:type="dxa" w:w="90"/>
              <w:right w:type="dxa" w:w="120"/>
            </w:tcMar>
          </w:tcPr>
          <w:p>
            <w:pPr>
              <w:spacing w:line="264"/>
            </w:pPr>
            <w:r>
              <w:rPr>
                <w:rFonts w:ascii="Calibri" w:cs="Calibri" w:eastAsia="Calibri" w:hAnsi="Calibri"/>
                <w:color w:val="1A1A19"/>
                <w:sz w:val="18"/>
                <w:szCs w:val="18"/>
              </w:rPr>
              <w:t xml:space="preserve">Provider specialty and location</w:t>
            </w:r>
          </w:p>
        </w:tc>
        <w:tc>
          <w:tcPr>
            <w:tcW w:type="dxa" w:w="3300"/>
            <w:tcMar>
              <w:top w:type="dxa" w:w="90"/>
              <w:left w:type="dxa" w:w="120"/>
              <w:bottom w:type="dxa" w:w="90"/>
              <w:right w:type="dxa" w:w="120"/>
            </w:tcMar>
          </w:tcPr>
          <w:p>
            <w:pPr>
              <w:spacing w:line="264"/>
            </w:pPr>
            <w:r>
              <w:rPr>
                <w:rFonts w:ascii="Calibri" w:cs="Calibri" w:eastAsia="Calibri" w:hAnsi="Calibri"/>
                <w:color w:val="52514E"/>
                <w:sz w:val="18"/>
                <w:szCs w:val="18"/>
              </w:rPr>
              <w:t xml:space="preserve">Network gaps as a shelf decision</w:t>
            </w:r>
          </w:p>
        </w:tc>
        <w:tc>
          <w:tcPr>
            <w:tcW w:type="dxa" w:w="2960"/>
            <w:tcMar>
              <w:top w:type="dxa" w:w="90"/>
              <w:left w:type="dxa" w:w="120"/>
              <w:bottom w:type="dxa" w:w="90"/>
              <w:right w:type="dxa" w:w="120"/>
            </w:tcMar>
          </w:tcPr>
          <w:p>
            <w:pPr>
              <w:spacing w:line="264"/>
            </w:pPr>
            <w:r>
              <w:rPr>
                <w:rFonts w:ascii="Calibri" w:cs="Calibri" w:eastAsia="Calibri" w:hAnsi="Calibri"/>
                <w:color w:val="52514E"/>
                <w:sz w:val="18"/>
                <w:szCs w:val="18"/>
              </w:rPr>
              <w:t xml:space="preserve">A general grumble with nothing to do about it</w:t>
            </w:r>
          </w:p>
        </w:tc>
      </w:tr>
      <w:tr>
        <w:tc>
          <w:tcPr>
            <w:tcW w:type="dxa" w:w="3100"/>
            <w:tcMar>
              <w:top w:type="dxa" w:w="90"/>
              <w:left w:type="dxa" w:w="120"/>
              <w:bottom w:type="dxa" w:w="90"/>
              <w:right w:type="dxa" w:w="120"/>
            </w:tcMar>
          </w:tcPr>
          <w:p>
            <w:pPr>
              <w:spacing w:line="264"/>
            </w:pPr>
            <w:r>
              <w:rPr>
                <w:rFonts w:ascii="Calibri" w:cs="Calibri" w:eastAsia="Calibri" w:hAnsi="Calibri"/>
                <w:color w:val="1A1A19"/>
                <w:sz w:val="18"/>
                <w:szCs w:val="18"/>
              </w:rPr>
              <w:t xml:space="preserve">An EMPLOYER value in complaint attribution</w:t>
            </w:r>
          </w:p>
        </w:tc>
        <w:tc>
          <w:tcPr>
            <w:tcW w:type="dxa" w:w="3300"/>
            <w:tcMar>
              <w:top w:type="dxa" w:w="90"/>
              <w:left w:type="dxa" w:w="120"/>
              <w:bottom w:type="dxa" w:w="90"/>
              <w:right w:type="dxa" w:w="120"/>
            </w:tcMar>
          </w:tcPr>
          <w:p>
            <w:pPr>
              <w:spacing w:line="264"/>
            </w:pPr>
            <w:r>
              <w:rPr>
                <w:rFonts w:ascii="Calibri" w:cs="Calibri" w:eastAsia="Calibri" w:hAnsi="Calibri"/>
                <w:color w:val="52514E"/>
                <w:sz w:val="18"/>
                <w:szCs w:val="18"/>
              </w:rPr>
              <w:t xml:space="preserve">Employer-caused member confusion as a first-class finding</w:t>
            </w:r>
          </w:p>
        </w:tc>
        <w:tc>
          <w:tcPr>
            <w:tcW w:type="dxa" w:w="2960"/>
            <w:tcMar>
              <w:top w:type="dxa" w:w="90"/>
              <w:left w:type="dxa" w:w="120"/>
              <w:bottom w:type="dxa" w:w="90"/>
              <w:right w:type="dxa" w:w="120"/>
            </w:tcMar>
          </w:tcPr>
          <w:p>
            <w:pPr>
              <w:spacing w:line="264"/>
            </w:pPr>
            <w:r>
              <w:rPr>
                <w:rFonts w:ascii="Calibri" w:cs="Calibri" w:eastAsia="Calibri" w:hAnsi="Calibri"/>
                <w:color w:val="52514E"/>
                <w:sz w:val="18"/>
                <w:szCs w:val="18"/>
              </w:rPr>
              <w:t xml:space="preserve">The group's own communications cannot be named as a cause</w:t>
            </w:r>
          </w:p>
        </w:tc>
      </w:tr>
      <w:tr>
        <w:tc>
          <w:tcPr>
            <w:tcW w:type="dxa" w:w="3100"/>
            <w:tcMar>
              <w:top w:type="dxa" w:w="90"/>
              <w:left w:type="dxa" w:w="120"/>
              <w:bottom w:type="dxa" w:w="90"/>
              <w:right w:type="dxa" w:w="120"/>
            </w:tcMar>
          </w:tcPr>
          <w:p>
            <w:pPr>
              <w:spacing w:line="264"/>
            </w:pPr>
            <w:r>
              <w:rPr>
                <w:rFonts w:ascii="Calibri" w:cs="Calibri" w:eastAsia="Calibri" w:hAnsi="Calibri"/>
                <w:color w:val="1A1A19"/>
                <w:sz w:val="18"/>
                <w:szCs w:val="18"/>
              </w:rPr>
              <w:t xml:space="preserve">A second fault record per call (proximate and root)</w:t>
            </w:r>
          </w:p>
        </w:tc>
        <w:tc>
          <w:tcPr>
            <w:tcW w:type="dxa" w:w="3300"/>
            <w:tcMar>
              <w:top w:type="dxa" w:w="90"/>
              <w:left w:type="dxa" w:w="120"/>
              <w:bottom w:type="dxa" w:w="90"/>
              <w:right w:type="dxa" w:w="120"/>
            </w:tcMar>
          </w:tcPr>
          <w:p>
            <w:pPr>
              <w:spacing w:line="264"/>
            </w:pPr>
            <w:r>
              <w:rPr>
                <w:rFonts w:ascii="Calibri" w:cs="Calibri" w:eastAsia="Calibri" w:hAnsi="Calibri"/>
                <w:color w:val="52514E"/>
                <w:sz w:val="18"/>
                <w:szCs w:val="18"/>
              </w:rPr>
              <w:t xml:space="preserve">The expensive lesson as well as the cheap fix</w:t>
            </w:r>
          </w:p>
        </w:tc>
        <w:tc>
          <w:tcPr>
            <w:tcW w:type="dxa" w:w="2960"/>
            <w:tcMar>
              <w:top w:type="dxa" w:w="90"/>
              <w:left w:type="dxa" w:w="120"/>
              <w:bottom w:type="dxa" w:w="90"/>
              <w:right w:type="dxa" w:w="120"/>
            </w:tcMar>
          </w:tcPr>
          <w:p>
            <w:pPr>
              <w:spacing w:line="264"/>
            </w:pPr>
            <w:r>
              <w:rPr>
                <w:rFonts w:ascii="Calibri" w:cs="Calibri" w:eastAsia="Calibri" w:hAnsi="Calibri"/>
                <w:color w:val="52514E"/>
                <w:sz w:val="18"/>
                <w:szCs w:val="18"/>
              </w:rPr>
              <w:t xml:space="preserve">One touchpoint per call; the upstream cause is lost</w:t>
            </w:r>
          </w:p>
        </w:tc>
      </w:tr>
      <w:tr>
        <w:tc>
          <w:tcPr>
            <w:tcW w:type="dxa" w:w="3100"/>
            <w:tcMar>
              <w:top w:type="dxa" w:w="90"/>
              <w:left w:type="dxa" w:w="120"/>
              <w:bottom w:type="dxa" w:w="90"/>
              <w:right w:type="dxa" w:w="120"/>
            </w:tcMar>
          </w:tcPr>
          <w:p>
            <w:pPr>
              <w:spacing w:line="264"/>
            </w:pPr>
            <w:r>
              <w:rPr>
                <w:rFonts w:ascii="Calibri" w:cs="Calibri" w:eastAsia="Calibri" w:hAnsi="Calibri"/>
                <w:color w:val="1A1A19"/>
                <w:sz w:val="18"/>
                <w:szCs w:val="18"/>
              </w:rPr>
              <w:t xml:space="preserve">One agreed workbook version</w:t>
            </w:r>
          </w:p>
        </w:tc>
        <w:tc>
          <w:tcPr>
            <w:tcW w:type="dxa" w:w="3300"/>
            <w:tcMar>
              <w:top w:type="dxa" w:w="90"/>
              <w:left w:type="dxa" w:w="120"/>
              <w:bottom w:type="dxa" w:w="90"/>
              <w:right w:type="dxa" w:w="120"/>
            </w:tcMar>
          </w:tcPr>
          <w:p>
            <w:pPr>
              <w:spacing w:line="264"/>
            </w:pPr>
            <w:r>
              <w:rPr>
                <w:rFonts w:ascii="Calibri" w:cs="Calibri" w:eastAsia="Calibri" w:hAnsi="Calibri"/>
                <w:color w:val="52514E"/>
                <w:sz w:val="18"/>
                <w:szCs w:val="18"/>
              </w:rPr>
              <w:t xml:space="preserve">Every account, broker and region join on every call</w:t>
            </w:r>
          </w:p>
        </w:tc>
        <w:tc>
          <w:tcPr>
            <w:tcW w:type="dxa" w:w="2960"/>
            <w:tcMar>
              <w:top w:type="dxa" w:w="90"/>
              <w:left w:type="dxa" w:w="120"/>
              <w:bottom w:type="dxa" w:w="90"/>
              <w:right w:type="dxa" w:w="120"/>
            </w:tcMar>
          </w:tcPr>
          <w:p>
            <w:pPr>
              <w:spacing w:line="264"/>
            </w:pPr>
            <w:r>
              <w:rPr>
                <w:rFonts w:ascii="Calibri" w:cs="Calibri" w:eastAsia="Calibri" w:hAnsi="Calibri"/>
                <w:color w:val="52514E"/>
                <w:sz w:val="18"/>
                <w:szCs w:val="18"/>
              </w:rPr>
              <w:t xml:space="preserve">The two builds are keyed on caller references that disagree</w:t>
            </w:r>
          </w:p>
        </w:tc>
      </w:tr>
    </w:tbl>
    <w:p>
      <w:pPr>
        <w:spacing w:after="160"/>
      </w:pPr>
      <w:r>
        <w:rPr>
          <w:rFonts w:ascii="Calibri" w:cs="Calibri" w:eastAsia="Calibri" w:hAnsi="Calibri"/>
          <w:sz w:val="12"/>
          <w:szCs w:val="12"/>
        </w:rPr>
        <w:t xml:space="preserve"/>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A7871"/>
        <w:sz w:val="16"/>
        <w:szCs w:val="16"/>
      </w:rPr>
      <w:t xml:space="preserve"/>
    </w:r>
    <w:r>
      <w:rPr>
        <w:rFonts w:ascii="Calibri" w:cs="Calibri" w:eastAsia="Calibri" w:hAnsi="Calibri"/>
        <w:color w:val="7A7871"/>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Calibri" w:cs="Calibri" w:eastAsia="Calibri" w:hAnsi="Calibri"/>
        <w:color w:val="7A7871"/>
        <w:sz w:val="16"/>
        <w:szCs w:val="16"/>
      </w:rPr>
      <w:t xml:space="preserve">NanoVox · Insights Worth Building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1C5CA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2514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A1A19"/>
      <w:sz w:val="30"/>
      <w:szCs w:val="30"/>
    </w:rPr>
  </w:style>
  <w:style w:type="paragraph" w:styleId="Heading2">
    <w:name w:val="Heading 2"/>
    <w:basedOn w:val="Normal"/>
    <w:next w:val="Normal"/>
    <w:qFormat/>
    <w:pPr>
      <w:spacing w:after="120" w:before="320"/>
    </w:pPr>
    <w:rPr>
      <w:rFonts w:ascii="Calibri" w:cs="Calibri" w:eastAsia="Calibri" w:hAnsi="Calibri"/>
      <w:b/>
      <w:bCs/>
      <w:color w:val="1A1A19"/>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Insights Worth Building</dc:title>
  <dc:creator>Shloka Kulkarni</dc:creator>
  <dc:description>The merged catalogue — both prototypes, one list</dc:description>
  <cp:lastModifiedBy>Un-named</cp:lastModifiedBy>
  <cp:revision>1</cp:revision>
  <dcterms:created xsi:type="dcterms:W3CDTF">2026-09-18T10:51:23.791Z</dcterms:created>
  <dcterms:modified xsi:type="dcterms:W3CDTF">2026-09-18T10:51:23.791Z</dcterms:modified>
</cp:coreProperties>
</file>

<file path=docProps/custom.xml><?xml version="1.0" encoding="utf-8"?>
<Properties xmlns="http://schemas.openxmlformats.org/officeDocument/2006/custom-properties" xmlns:vt="http://schemas.openxmlformats.org/officeDocument/2006/docPropsVTypes"/>
</file>