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Explain the differences between software quality control and software quality assurance.</w:t>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the structures (categories and factors) for McCall’s classic factors model.</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are the differences (in terms of structures) between McCall’s classic factor models, Evans and Marciniak factor model and Deutsch and Willis factor model? List the differences.</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software requirement document for the tender for development of “Super-lab”, a software system for managing a hospital laboratory, consists of chapters according to the required quality factors as follows: correctness, reliability, efficiency, integrity, usability, maintainability, flexibility, testability, portability, reusability and interoperability.</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following table you will find sections taken from the mentioned requirements document. For each section, fill in the name of the factor that best fits the requirement (choose only one factor per requirements section).</w:t>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tl w:val="0"/>
        </w:rPr>
      </w:r>
    </w:p>
    <w:tbl>
      <w:tblPr>
        <w:tblStyle w:val="Table1"/>
        <w:tblW w:w="77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4391"/>
        <w:gridCol w:w="2599"/>
        <w:tblGridChange w:id="0">
          <w:tblGrid>
            <w:gridCol w:w="806"/>
            <w:gridCol w:w="4391"/>
            <w:gridCol w:w="2599"/>
          </w:tblGrid>
        </w:tblGridChange>
      </w:tblGrid>
      <w:tr>
        <w:trPr>
          <w:cantSplit w:val="0"/>
          <w:trHeight w:val="715" w:hRule="atLeast"/>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ind w:right="-30" w:hanging="72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No</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Section taken from software requirements document</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ind w:hanging="217"/>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Requirement Factor</w:t>
            </w:r>
          </w:p>
        </w:tc>
      </w:tr>
      <w:tr>
        <w:trPr>
          <w:cantSplit w:val="0"/>
          <w:tblHeader w:val="0"/>
        </w:trPr>
        <w:tc>
          <w:tcPr/>
          <w:p w:rsidR="00000000" w:rsidDel="00000000" w:rsidP="00000000" w:rsidRDefault="00000000" w:rsidRPr="00000000" w14:paraId="00000011">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1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probability that the “Super-lab” software system will be found in a state of failure during peak hours (9 am to 4 pm) is required to be below 0.5%.</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4">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01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“Super-lab” software system will enable direct transfer of laboratory results to those files of hospitalized patients managed by the “MD-File” software package.</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7">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01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“Super-lab” software system will include a module that prepares a detailed report of the patient’s laboratory test results during his or her current hospitalization. (This report will serve as an appendix to the family physician’s file.) The time required to obtain this printed report will be less than 60 seconds; the level of accuracy and completeness will be at least 99%.</w:t>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1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“Super-lab” software to be developed for hospital laboratory use may be adapted later for private laboratory use.</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01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of a laboratory technician, requiring no more than three days, will enable the technician to reach level C of “Super-lab” software usage. This means that he or she will be able to manage reception of 20 patients per hour.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02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“Super-lab” software system will record a detailed users’ log. In addition, the system will report attempts by unauthorized persons to obtain medical information from the laboratory test results database. The report will include the following information: network identification of the applying terminal, system code of the employee who requested that information, day and time of attempt, and type of attempt.</w:t>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02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“Super-lab” subsystem that deals with billing patients for their tests may eventually be used as a subsystem in the “Physiotherapy Center” software package.</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p w:rsidR="00000000" w:rsidDel="00000000" w:rsidP="00000000" w:rsidRDefault="00000000" w:rsidRPr="00000000" w14:paraId="0000002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“Super-lab” software system will process all the monthly reports for the hospital departments’ management, the hospital management, and the hospital controller according to Appendix D of the development contract.</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p w:rsidR="00000000" w:rsidDel="00000000" w:rsidP="00000000" w:rsidRDefault="00000000" w:rsidRPr="00000000" w14:paraId="0000002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system should be able to serve 12 workstations and eight automatic testing machines with a single model AS20 server and a CS25 communication server that will be able to serve 25 communication lines. This hardware system should conform to all availability requirements as listed in Appendix C.</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ind w:hanging="2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p w:rsidR="00000000" w:rsidDel="00000000" w:rsidP="00000000" w:rsidRDefault="00000000" w:rsidRPr="00000000" w14:paraId="0000002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“Super-lab” software package developed for the Linux operating system should be compatible for applications in a Windows NT environment.</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ind w:hanging="720"/>
              <w:jc w:val="both"/>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and explain the components of SQA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and explain the SQA activities in Software Testing</w:t>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 </w:t>
      </w:r>
      <w:r w:rsidDel="00000000" w:rsidR="00000000" w:rsidRPr="00000000">
        <w:rPr>
          <w:rFonts w:ascii="Times New Roman" w:cs="Times New Roman" w:eastAsia="Times New Roman" w:hAnsi="Times New Roman"/>
          <w:rtl w:val="0"/>
        </w:rPr>
        <w:t xml:space="preserve">the benefits</w:t>
      </w:r>
      <w:r w:rsidDel="00000000" w:rsidR="00000000" w:rsidRPr="00000000">
        <w:rPr>
          <w:rFonts w:ascii="Times New Roman" w:cs="Times New Roman" w:eastAsia="Times New Roman" w:hAnsi="Times New Roman"/>
          <w:color w:val="000000"/>
          <w:rtl w:val="0"/>
        </w:rPr>
        <w:t xml:space="preserve"> of applying SQA activities.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bookmarkStart w:colFirst="0" w:colLast="0" w:name="_heading=h.gjdgxs" w:id="0"/>
      <w:bookmarkEnd w:id="0"/>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 the challenges in applying SQA activities.</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sectPr>
      <w:headerReference r:id="rId7"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000"/>
      </w:tabs>
      <w:jc w:val="both"/>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BACS2103 Software Quality Assurance and Testing</w:t>
      <w:tab/>
      <w:t xml:space="preserve">                                Tutorial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2C275C"/>
    <w:pPr>
      <w:ind w:left="720"/>
      <w:contextualSpacing w:val="1"/>
    </w:pPr>
  </w:style>
  <w:style w:type="paragraph" w:styleId="BalloonText">
    <w:name w:val="Balloon Text"/>
    <w:basedOn w:val="Normal"/>
    <w:link w:val="BalloonTextChar"/>
    <w:uiPriority w:val="99"/>
    <w:semiHidden w:val="1"/>
    <w:unhideWhenUsed w:val="1"/>
    <w:rsid w:val="00813B07"/>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813B07"/>
    <w:rPr>
      <w:rFonts w:ascii="Lucida Grande" w:cs="Lucida Grande" w:hAnsi="Lucida Grande"/>
      <w:sz w:val="18"/>
      <w:szCs w:val="18"/>
    </w:rPr>
  </w:style>
  <w:style w:type="table" w:styleId="TableGrid">
    <w:name w:val="Table Grid"/>
    <w:basedOn w:val="TableNormal"/>
    <w:uiPriority w:val="59"/>
    <w:rsid w:val="00813B0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B1386"/>
    <w:pPr>
      <w:tabs>
        <w:tab w:val="center" w:pos="4320"/>
        <w:tab w:val="right" w:pos="8640"/>
      </w:tabs>
    </w:pPr>
  </w:style>
  <w:style w:type="character" w:styleId="HeaderChar" w:customStyle="1">
    <w:name w:val="Header Char"/>
    <w:basedOn w:val="DefaultParagraphFont"/>
    <w:link w:val="Header"/>
    <w:uiPriority w:val="99"/>
    <w:rsid w:val="006B1386"/>
  </w:style>
  <w:style w:type="paragraph" w:styleId="Footer">
    <w:name w:val="footer"/>
    <w:basedOn w:val="Normal"/>
    <w:link w:val="FooterChar"/>
    <w:uiPriority w:val="99"/>
    <w:unhideWhenUsed w:val="1"/>
    <w:rsid w:val="006B1386"/>
    <w:pPr>
      <w:tabs>
        <w:tab w:val="center" w:pos="4320"/>
        <w:tab w:val="right" w:pos="8640"/>
      </w:tabs>
    </w:pPr>
  </w:style>
  <w:style w:type="character" w:styleId="FooterChar" w:customStyle="1">
    <w:name w:val="Footer Char"/>
    <w:basedOn w:val="DefaultParagraphFont"/>
    <w:link w:val="Footer"/>
    <w:uiPriority w:val="99"/>
    <w:rsid w:val="006B1386"/>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JPWUvN3wW4iQAyLkr0S1JntRwg==">CgMxLjAyCGguZ2pkZ3hzOAByITFaek94NWRfVjN2NTNaenphQTFXZUtfRktKR2trTktMcQ==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2020-01-22T10:41:00Z</dcterms:created>
  <dc:creator>Simying Ong</dc:creator>
</cp:coreProperties>
</file>