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2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Tutorial 8 </w:t>
      </w:r>
      <w:r w:rsidDel="00000000" w:rsidR="00000000" w:rsidRPr="00000000">
        <w:rPr>
          <w:b w:val="1"/>
          <w:sz w:val="20"/>
          <w:szCs w:val="20"/>
          <w:rtl w:val="0"/>
        </w:rPr>
        <w:t xml:space="preserve">(20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0"/>
          <w:szCs w:val="20"/>
          <w:rtl w:val="0"/>
        </w:rPr>
        <w:t xml:space="preserve"> Century Music)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Comparisons between music in the 20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century and the previous eras.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13.0" w:type="dxa"/>
        <w:tblLayout w:type="fixed"/>
        <w:tblLook w:val="0000"/>
      </w:tblPr>
      <w:tblGrid>
        <w:gridCol w:w="1638"/>
        <w:gridCol w:w="3522"/>
        <w:gridCol w:w="4200"/>
        <w:tblGridChange w:id="0">
          <w:tblGrid>
            <w:gridCol w:w="1638"/>
            <w:gridCol w:w="3522"/>
            <w:gridCol w:w="4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ind w:firstLine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Romantic 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ind w:left="-6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century era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Mood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ind w:left="41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Rhythm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6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Melody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ind w:left="41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Dynamic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ind w:left="414" w:hanging="42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Texture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ind w:left="41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Harmony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ind w:left="41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Musical 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ind w:left="41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Orchestra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ind w:left="41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3 main composition styles applicable to 20th</w:t>
      </w:r>
      <w:r w:rsidDel="00000000" w:rsidR="00000000" w:rsidRPr="00000000">
        <w:rPr>
          <w:sz w:val="20"/>
          <w:szCs w:val="20"/>
          <w:rtl w:val="0"/>
        </w:rPr>
        <w:t xml:space="preserve"> century music: impressionism and symbolism, neoclassicism and expressionism (atonality &amp; 12-tones system).      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ind w:firstLine="720"/>
        <w:jc w:val="both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8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Impressionism and symbolism</w:t>
      </w: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713.0" w:type="dxa"/>
        <w:tblLayout w:type="fixed"/>
        <w:tblLook w:val="0000"/>
      </w:tblPr>
      <w:tblGrid>
        <w:gridCol w:w="1440"/>
        <w:gridCol w:w="480"/>
        <w:gridCol w:w="7200"/>
        <w:tblGridChange w:id="0">
          <w:tblGrid>
            <w:gridCol w:w="1440"/>
            <w:gridCol w:w="480"/>
            <w:gridCol w:w="720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Impressionism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Symbolism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refers to symbolic paintings, use of symbols to represent something. 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Neoclassicism</w:t>
      </w:r>
      <w:r w:rsidDel="00000000" w:rsidR="00000000" w:rsidRPr="00000000">
        <w:rPr>
          <w:sz w:val="20"/>
          <w:szCs w:val="20"/>
          <w:rtl w:val="0"/>
        </w:rPr>
        <w:t xml:space="preserve"> = 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360"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Expressionism</w:t>
      </w:r>
      <w:r w:rsidDel="00000000" w:rsidR="00000000" w:rsidRPr="00000000">
        <w:rPr>
          <w:sz w:val="20"/>
          <w:szCs w:val="20"/>
          <w:rtl w:val="0"/>
        </w:rPr>
        <w:t xml:space="preserve"> = </w:t>
      </w:r>
    </w:p>
    <w:p w:rsidR="00000000" w:rsidDel="00000000" w:rsidP="00000000" w:rsidRDefault="00000000" w:rsidRPr="00000000" w14:paraId="00000033">
      <w:pPr>
        <w:pageBreakBefore w:val="0"/>
        <w:ind w:left="1440" w:firstLine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(i)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Atonality</w:t>
      </w:r>
      <w:r w:rsidDel="00000000" w:rsidR="00000000" w:rsidRPr="00000000">
        <w:rPr>
          <w:sz w:val="20"/>
          <w:szCs w:val="20"/>
          <w:rtl w:val="0"/>
        </w:rPr>
        <w:t xml:space="preserve"> = Absence of key</w:t>
      </w:r>
    </w:p>
    <w:p w:rsidR="00000000" w:rsidDel="00000000" w:rsidP="00000000" w:rsidRDefault="00000000" w:rsidRPr="00000000" w14:paraId="00000035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ageBreakBefore w:val="0"/>
        <w:ind w:left="0" w:firstLine="72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(ii) </w:t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Twelve-tone system = a new way to organize pitch in 20th century composition. There are four basic forms: Prime form, Retrograde, Invrsion, Retrograde inversion.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240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Compare 20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century composers’ style (Debussy, Stravinsky and Schoenberg). List out some of their works and famous compositions.</w:t>
      </w:r>
    </w:p>
    <w:p w:rsidR="00000000" w:rsidDel="00000000" w:rsidP="00000000" w:rsidRDefault="00000000" w:rsidRPr="00000000" w14:paraId="0000003A">
      <w:pPr>
        <w:pageBreakBefore w:val="0"/>
        <w:ind w:left="240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B">
      <w:pPr>
        <w:pageBreakBefore w:val="0"/>
        <w:ind w:left="240" w:hanging="240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03C">
      <w:pPr>
        <w:pageBreakBefore w:val="0"/>
        <w:ind w:left="240" w:hanging="24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2nd viennese school: Arnold Shoenberg, Alban Berg, Anton Webern</w:t>
      </w:r>
    </w:p>
    <w:p w:rsidR="00000000" w:rsidDel="00000000" w:rsidP="00000000" w:rsidRDefault="00000000" w:rsidRPr="00000000" w14:paraId="0000003D">
      <w:pPr>
        <w:pageBreakBefore w:val="0"/>
        <w:ind w:left="240" w:hanging="24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240" w:hanging="24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lowerRoman"/>
      <w:lvlText w:val="%4)"/>
      <w:lvlJc w:val="left"/>
      <w:pPr>
        <w:ind w:left="3240" w:hanging="72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360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pageBreakBefore w:val="0"/>
      <w:ind w:left="720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360" w:firstLine="360"/>
      <w:jc w:val="both"/>
    </w:pPr>
    <w:rPr>
      <w:b w:val="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pBdr>
        <w:right w:color="000000" w:space="4" w:sz="4" w:val="single"/>
      </w:pBdr>
      <w:ind w:left="360"/>
    </w:pPr>
    <w:rPr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tYZlBahj7qTulcGptlshJexR2g==">CgMxLjA4AHIhMUlDdUtHSy1uLTN6WVZlME5TUE9LWmE4YWwwRkYtYzhn</go:docsCustomData>
</go:gDocsCustomXmlDataStorage>
</file>

<file path=customXML/item2.xml><?xml version="1.0" encoding="utf-8"?>
<b:Sources xmlns:b="http://schemas.openxmlformats.org/officeDocument/2006/bibliography" StyleName="APA" SelectedStyle="/APASixthEditionOfficeOnline.xsl" Version="6">
  <b:Source>
    <b:Tag>source1</b:Tag>
    <b:Year>2018</b:Year>
    <b:SourceType>Book</b:SourceType>
    <b:Title>The Classical Music Book</b:Title>
    <b:Publisher>DK</b:Publisher>
    <b:Gdcea>{"AccessedType":"OnlineDatabase"}</b:Gdcea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