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ind w:right="-33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CONTOH JAWAPAN PENILAIAN 1: TUGASAN BERTULIS</w:t>
      </w:r>
    </w:p>
    <w:p w:rsidR="00000000" w:rsidDel="00000000" w:rsidP="00000000" w:rsidRDefault="00000000" w:rsidRPr="00000000" w14:paraId="00000002">
      <w:pPr>
        <w:spacing w:after="160" w:line="278.00000000000006" w:lineRule="auto"/>
        <w:ind w:right="-330"/>
        <w:jc w:val="both"/>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b w:val="1"/>
          <w:highlight w:val="yellow"/>
          <w:u w:val="single"/>
          <w:rtl w:val="0"/>
        </w:rPr>
        <w:t xml:space="preserve">Contoh Jawapan yang Baik</w:t>
      </w:r>
    </w:p>
    <w:p w:rsidR="00000000" w:rsidDel="00000000" w:rsidP="00000000" w:rsidRDefault="00000000" w:rsidRPr="00000000" w14:paraId="00000003">
      <w:pPr>
        <w:spacing w:after="160" w:line="278.00000000000006" w:lineRule="auto"/>
        <w:ind w:right="-3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Salah satu matlamat utama Falsafah Pendidikan Kebangsaan ialah melahirkan rakyat Malaysia yang berilmu pengetahuan. Terangkan </w:t>
      </w:r>
      <w:r w:rsidDel="00000000" w:rsidR="00000000" w:rsidRPr="00000000">
        <w:rPr>
          <w:rFonts w:ascii="Times New Roman" w:cs="Times New Roman" w:eastAsia="Times New Roman" w:hAnsi="Times New Roman"/>
          <w:b w:val="1"/>
          <w:u w:val="single"/>
          <w:rtl w:val="0"/>
        </w:rPr>
        <w:t xml:space="preserve">TIGA</w:t>
      </w:r>
      <w:r w:rsidDel="00000000" w:rsidR="00000000" w:rsidRPr="00000000">
        <w:rPr>
          <w:rFonts w:ascii="Times New Roman" w:cs="Times New Roman" w:eastAsia="Times New Roman" w:hAnsi="Times New Roman"/>
          <w:u w:val="single"/>
          <w:rtl w:val="0"/>
        </w:rPr>
        <w:t xml:space="preserve"> masalah yang dihadapi dalam usaha melahirkan rakyat yang berilmu agar seiring dengan matlamat </w:t>
      </w:r>
      <w:hyperlink r:id="rId6">
        <w:r w:rsidDel="00000000" w:rsidR="00000000" w:rsidRPr="00000000">
          <w:rPr>
            <w:rFonts w:ascii="Times New Roman" w:cs="Times New Roman" w:eastAsia="Times New Roman" w:hAnsi="Times New Roman"/>
            <w:u w:val="single"/>
            <w:rtl w:val="0"/>
          </w:rPr>
          <w:t xml:space="preserve">SDG ke-4 </w:t>
        </w:r>
      </w:hyperlink>
      <w:r w:rsidDel="00000000" w:rsidR="00000000" w:rsidRPr="00000000">
        <w:rPr>
          <w:rFonts w:ascii="Times New Roman" w:cs="Times New Roman" w:eastAsia="Times New Roman" w:hAnsi="Times New Roman"/>
          <w:u w:val="single"/>
          <w:rtl w:val="0"/>
        </w:rPr>
        <w:t xml:space="preserve">Pendidikan Berkualiti.</w:t>
      </w:r>
      <w:r w:rsidDel="00000000" w:rsidR="00000000" w:rsidRPr="00000000">
        <w:rPr>
          <w:rFonts w:ascii="Times New Roman" w:cs="Times New Roman" w:eastAsia="Times New Roman" w:hAnsi="Times New Roman"/>
          <w:rtl w:val="0"/>
        </w:rPr>
        <w:t xml:space="preserve"> </w:t>
        <w:tab/>
        <w:tab/>
        <w:tab/>
        <w:t xml:space="preserve">   (100 Markah)</w:t>
      </w:r>
    </w:p>
    <w:p w:rsidR="00000000" w:rsidDel="00000000" w:rsidP="00000000" w:rsidRDefault="00000000" w:rsidRPr="00000000" w14:paraId="00000004">
      <w:pPr>
        <w:spacing w:line="278.00000000000006" w:lineRule="auto"/>
        <w:ind w:right="-3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Masalah pertama yang dihadapi dalam usaha membentuk rakyat Malaysia yang berilmu pengetahuan agar seiring dengan matlamat SDG ke-4 Pendidikan Berkualiti ialah tahap kesedaran rakyat yang rendah akan kepentingan pendidikan dan keperluan melanjutkan pelajaran demi masa depan. </w:t>
      </w:r>
      <w:r w:rsidDel="00000000" w:rsidR="00000000" w:rsidRPr="00000000">
        <w:rPr>
          <w:rFonts w:ascii="Times New Roman" w:cs="Times New Roman" w:eastAsia="Times New Roman" w:hAnsi="Times New Roman"/>
          <w:rtl w:val="0"/>
        </w:rPr>
        <w:t xml:space="preserve">(2M) Trend yang berlaku pada hari ini menunjukkan bahawa jumlah pelajar yang tidak menduduki Sijil Pelajaran Malaysia dan gagal mendapat sijil semakin meningkat. (2M) Ini kerana mereka mula melihat kejayaan beberapa golongan pempengaruh atau usahawan tanpa latar pendidikan yang baik mampu mencipta nama lalu membuat kesimpulan bahawa pendidikan bukan faktor utama kejayaan. (2M) Hal ini akan menjejaskan kualiti pendidikan negara di mana generasi yang bijaksana dan berdaya saing semakin merosot lalu menyebabkan SDG ke-4  tidak akan tercapai. (2M)</w:t>
      </w:r>
    </w:p>
    <w:p w:rsidR="00000000" w:rsidDel="00000000" w:rsidP="00000000" w:rsidRDefault="00000000" w:rsidRPr="00000000" w14:paraId="00000005">
      <w:pPr>
        <w:spacing w:line="278.00000000000006" w:lineRule="auto"/>
        <w:ind w:right="-3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8.00000000000006" w:lineRule="auto"/>
        <w:ind w:right="-3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Masalah kedua yang dihadapi ialah halangan membentuk generasi literasi dan berkemahiran akibat sistem pendidikan yang tidak menggalakkan pelajar berfikir secara kritis. </w:t>
      </w:r>
      <w:r w:rsidDel="00000000" w:rsidR="00000000" w:rsidRPr="00000000">
        <w:rPr>
          <w:rFonts w:ascii="Times New Roman" w:cs="Times New Roman" w:eastAsia="Times New Roman" w:hAnsi="Times New Roman"/>
          <w:rtl w:val="0"/>
        </w:rPr>
        <w:t xml:space="preserve">(2M) Hal ini berlaku kerana sistem pembelajaran dan peperiksaan terlalu memberi tumpuan kepada teknik penghafalan semata-mata berbanding penggunaan elemen rasional dalam memahami dan mempraktikkan sesuatu teori sehingga menyebabkan kualiti pemahaman pelajar tidak mencapai target yang sepatutnya. (2M) Masalah ini semakin serius apabila fasiliti pengajaran seperti makmal, perpustakaan, bilik komputer tidak mencukupi sehingga membataskan ilmu pengetahuan pelajar dan seterusnya menyekat kemahiran berfikir mereka. (2M) Semua keadaan ini adalah jauh daripada sasaran SDG ke-4 serta gagal melahirkan golongan pelajar berkualiti kerana tidak dapat menguasai ilmu secara holistik. (2M)</w:t>
      </w:r>
    </w:p>
    <w:p w:rsidR="00000000" w:rsidDel="00000000" w:rsidP="00000000" w:rsidRDefault="00000000" w:rsidRPr="00000000" w14:paraId="00000007">
      <w:pPr>
        <w:spacing w:line="278.00000000000006" w:lineRule="auto"/>
        <w:ind w:right="-3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8.00000000000006" w:lineRule="auto"/>
        <w:ind w:right="-3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Masalah terakhir ialah wujud campur tangan sesetengah ahli politik yang mengutamakan perjuangan peribadi dalam sistem pendidikan. </w:t>
      </w:r>
      <w:r w:rsidDel="00000000" w:rsidR="00000000" w:rsidRPr="00000000">
        <w:rPr>
          <w:rFonts w:ascii="Times New Roman" w:cs="Times New Roman" w:eastAsia="Times New Roman" w:hAnsi="Times New Roman"/>
          <w:rtl w:val="0"/>
        </w:rPr>
        <w:t xml:space="preserve">(2M) Hal ini berlaku kerana sesuatu dasar yang digubal berkaitan dengan pendidikan adalah bergantung kepada kehendak parti politik yang memerintah dan bukannya berfokuskan keperluan sebenar dalam sistem pendidikan. (2M) Contohnya, legasi pemimpin tertentu yang terlalu memberi penekanan kemahiran berfikir aras tinggi telah mengabaikan faktor seperti kesesuaian umur dan tahap kematangan berfikir terutama pelajar tahap satu di peringkat sekolah rendah. (2M) Apabila keadaan ini berlaku, lama kelamaan pelajar akan rasa terbeban, hilang minat dan motivasi serta fobia untuk menuntut ilmu lalu menyumbang kepada peningkatan tahap keciciran pelajar dalam pendidikan. (2M)</w:t>
      </w:r>
    </w:p>
    <w:p w:rsidR="00000000" w:rsidDel="00000000" w:rsidP="00000000" w:rsidRDefault="00000000" w:rsidRPr="00000000" w14:paraId="00000009">
      <w:pPr>
        <w:spacing w:line="240" w:lineRule="auto"/>
        <w:jc w:val="both"/>
        <w:rPr>
          <w:rFonts w:ascii="Times New Roman" w:cs="Times New Roman" w:eastAsia="Times New Roman" w:hAnsi="Times New Roman"/>
        </w:rPr>
      </w:pPr>
      <w:r w:rsidDel="00000000" w:rsidR="00000000" w:rsidRPr="00000000">
        <w:rPr>
          <w:rtl w:val="0"/>
        </w:rPr>
      </w:r>
    </w:p>
    <w:tbl>
      <w:tblPr>
        <w:tblStyle w:val="Table1"/>
        <w:tblW w:w="951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
        <w:gridCol w:w="3240"/>
        <w:tblGridChange w:id="0">
          <w:tblGrid>
            <w:gridCol w:w="6270"/>
            <w:gridCol w:w="3240"/>
          </w:tblGrid>
        </w:tblGridChange>
      </w:tblGrid>
      <w:tr>
        <w:trPr>
          <w:cantSplit w:val="0"/>
          <w:trHeight w:val="162" w:hRule="atLeast"/>
          <w:tblHeader w:val="0"/>
        </w:trPr>
        <w:tc>
          <w:tcPr>
            <w:shd w:fill="efefef" w:val="clear"/>
            <w:tcMar>
              <w:top w:w="86.0" w:type="dxa"/>
              <w:left w:w="86.0" w:type="dxa"/>
              <w:bottom w:w="86.0" w:type="dxa"/>
              <w:right w:w="86.0" w:type="dxa"/>
            </w:tcMar>
          </w:tcPr>
          <w:p w:rsidR="00000000" w:rsidDel="00000000" w:rsidP="00000000" w:rsidRDefault="00000000" w:rsidRPr="00000000" w14:paraId="000000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KRITERIA PEMARKAHAN</w:t>
            </w:r>
            <w:r w:rsidDel="00000000" w:rsidR="00000000" w:rsidRPr="00000000">
              <w:rPr>
                <w:rtl w:val="0"/>
              </w:rPr>
            </w:r>
          </w:p>
        </w:tc>
        <w:tc>
          <w:tcPr>
            <w:shd w:fill="efefef" w:val="clear"/>
            <w:tcMar>
              <w:top w:w="86.0" w:type="dxa"/>
              <w:left w:w="86.0" w:type="dxa"/>
              <w:bottom w:w="86.0" w:type="dxa"/>
              <w:right w:w="86.0" w:type="dxa"/>
            </w:tcMar>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SKOR</w:t>
            </w:r>
          </w:p>
        </w:tc>
      </w:tr>
      <w:tr>
        <w:trPr>
          <w:cantSplit w:val="0"/>
          <w:tblHeader w:val="0"/>
        </w:trPr>
        <w:tc>
          <w:tcPr>
            <w:tcMar>
              <w:top w:w="86.0" w:type="dxa"/>
              <w:left w:w="86.0" w:type="dxa"/>
              <w:bottom w:w="86.0" w:type="dxa"/>
              <w:right w:w="86.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Isi</w:t>
            </w:r>
          </w:p>
        </w:tc>
        <w:tc>
          <w:tcPr>
            <w:tcMar>
              <w:top w:w="86.0" w:type="dxa"/>
              <w:left w:w="86.0" w:type="dxa"/>
              <w:bottom w:w="86.0" w:type="dxa"/>
              <w:right w:w="86.0" w:type="dxa"/>
            </w:tcMar>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24</w:t>
            </w:r>
          </w:p>
        </w:tc>
      </w:tr>
      <w:tr>
        <w:trPr>
          <w:cantSplit w:val="0"/>
          <w:trHeight w:val="1691" w:hRule="atLeast"/>
          <w:tblHeader w:val="0"/>
        </w:trPr>
        <w:tc>
          <w:tcPr>
            <w:tcMar>
              <w:top w:w="86.0" w:type="dxa"/>
              <w:left w:w="86.0" w:type="dxa"/>
              <w:bottom w:w="86.0" w:type="dxa"/>
              <w:right w:w="86.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Gaya Penulisan</w:t>
            </w:r>
          </w:p>
          <w:tbl>
            <w:tblPr>
              <w:tblStyle w:val="Table2"/>
              <w:tblW w:w="6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010"/>
              <w:gridCol w:w="2115"/>
              <w:tblGridChange w:id="0">
                <w:tblGrid>
                  <w:gridCol w:w="1965"/>
                  <w:gridCol w:w="2010"/>
                  <w:gridCol w:w="21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5-6</w:t>
                  </w:r>
                </w:p>
              </w:tc>
            </w:tr>
            <w:tr>
              <w:trPr>
                <w:cantSplit w:val="0"/>
                <w:tblHeader w:val="0"/>
              </w:trPr>
              <w:tc>
                <w:tcPr/>
                <w:p w:rsidR="00000000" w:rsidDel="00000000" w:rsidP="00000000" w:rsidRDefault="00000000" w:rsidRPr="00000000" w14:paraId="0000001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Penulisan umum yang hanya fokus pada satu aspek sahaja (falsafah atau isu semasa) </w:t>
                  </w:r>
                </w:p>
              </w:tc>
              <w:tc>
                <w:tcPr/>
                <w:p w:rsidR="00000000" w:rsidDel="00000000" w:rsidP="00000000" w:rsidRDefault="00000000" w:rsidRPr="00000000" w14:paraId="0000001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Penulisan bercampur aduk antara umum dan terperinci.</w:t>
                  </w:r>
                </w:p>
              </w:tc>
              <w:tc>
                <w:tcPr/>
                <w:p w:rsidR="00000000" w:rsidDel="00000000" w:rsidP="00000000" w:rsidRDefault="00000000" w:rsidRPr="00000000" w14:paraId="0000001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Penulisan terperinci yang mengambil kira kedua-dua aspek (falsafah &amp; isu semasa)  </w:t>
                  </w:r>
                </w:p>
              </w:tc>
            </w:tr>
          </w:tbl>
          <w:p w:rsidR="00000000" w:rsidDel="00000000" w:rsidP="00000000" w:rsidRDefault="00000000" w:rsidRPr="00000000" w14:paraId="00000015">
            <w:pPr>
              <w:widowControl w:val="0"/>
              <w:spacing w:line="240" w:lineRule="auto"/>
              <w:rPr>
                <w:rFonts w:ascii="Times New Roman" w:cs="Times New Roman" w:eastAsia="Times New Roman" w:hAnsi="Times New Roman"/>
                <w:sz w:val="4"/>
                <w:szCs w:val="4"/>
              </w:rPr>
            </w:pPr>
            <w:r w:rsidDel="00000000" w:rsidR="00000000" w:rsidRPr="00000000">
              <w:rPr>
                <w:rtl w:val="0"/>
              </w:rPr>
            </w:r>
          </w:p>
        </w:tc>
        <w:tc>
          <w:tcPr>
            <w:tcMar>
              <w:top w:w="86.0" w:type="dxa"/>
              <w:left w:w="86.0" w:type="dxa"/>
              <w:bottom w:w="86.0" w:type="dxa"/>
              <w:right w:w="86.0" w:type="dxa"/>
            </w:tcMa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6</w:t>
            </w:r>
          </w:p>
        </w:tc>
      </w:tr>
      <w:tr>
        <w:trPr>
          <w:cantSplit w:val="0"/>
          <w:tblHeader w:val="0"/>
        </w:trPr>
        <w:tc>
          <w:tcPr>
            <w:tcMar>
              <w:top w:w="86.0" w:type="dxa"/>
              <w:left w:w="86.0" w:type="dxa"/>
              <w:bottom w:w="86.0" w:type="dxa"/>
              <w:right w:w="86.0" w:type="dxa"/>
            </w:tcMar>
            <w:vAlign w:val="center"/>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Jumlah (100 markah)</w:t>
            </w:r>
          </w:p>
        </w:tc>
        <w:tc>
          <w:tcPr>
            <w:tcMar>
              <w:top w:w="86.0" w:type="dxa"/>
              <w:left w:w="86.0" w:type="dxa"/>
              <w:bottom w:w="86.0" w:type="dxa"/>
              <w:right w:w="86.0" w:type="dxa"/>
            </w:tcMar>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29   / 30 x 100 : </w:t>
            </w:r>
            <w:r w:rsidDel="00000000" w:rsidR="00000000" w:rsidRPr="00000000">
              <w:rPr>
                <w:rFonts w:ascii="Times New Roman" w:cs="Times New Roman" w:eastAsia="Times New Roman" w:hAnsi="Times New Roman"/>
                <w:rtl w:val="0"/>
              </w:rPr>
              <w:t xml:space="preserve">96.67 =&gt; 97%</w:t>
            </w:r>
            <w:r w:rsidDel="00000000" w:rsidR="00000000" w:rsidRPr="00000000">
              <w:rPr>
                <w:rtl w:val="0"/>
              </w:rPr>
            </w:r>
          </w:p>
        </w:tc>
      </w:tr>
    </w:tbl>
    <w:p w:rsidR="00000000" w:rsidDel="00000000" w:rsidP="00000000" w:rsidRDefault="00000000" w:rsidRPr="00000000" w14:paraId="0000001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60" w:line="278.00000000000006" w:lineRule="auto"/>
        <w:ind w:right="-330"/>
        <w:jc w:val="both"/>
        <w:rPr>
          <w:rFonts w:ascii="Times New Roman" w:cs="Times New Roman" w:eastAsia="Times New Roman" w:hAnsi="Times New Roman"/>
          <w:b w:val="1"/>
          <w:highlight w:val="yellow"/>
          <w:u w:val="single"/>
        </w:rPr>
      </w:pPr>
      <w:r w:rsidDel="00000000" w:rsidR="00000000" w:rsidRPr="00000000">
        <w:rPr>
          <w:rtl w:val="0"/>
        </w:rPr>
      </w:r>
    </w:p>
    <w:p w:rsidR="00000000" w:rsidDel="00000000" w:rsidP="00000000" w:rsidRDefault="00000000" w:rsidRPr="00000000" w14:paraId="0000001E">
      <w:pPr>
        <w:spacing w:after="160" w:line="278.00000000000006" w:lineRule="auto"/>
        <w:ind w:right="-330"/>
        <w:jc w:val="both"/>
        <w:rPr>
          <w:rFonts w:ascii="Times New Roman" w:cs="Times New Roman" w:eastAsia="Times New Roman" w:hAnsi="Times New Roman"/>
          <w:b w:val="1"/>
          <w:highlight w:val="yellow"/>
          <w:u w:val="single"/>
        </w:rPr>
      </w:pPr>
      <w:r w:rsidDel="00000000" w:rsidR="00000000" w:rsidRPr="00000000">
        <w:rPr>
          <w:rtl w:val="0"/>
        </w:rPr>
      </w:r>
    </w:p>
    <w:p w:rsidR="00000000" w:rsidDel="00000000" w:rsidP="00000000" w:rsidRDefault="00000000" w:rsidRPr="00000000" w14:paraId="0000001F">
      <w:pPr>
        <w:spacing w:after="160" w:line="278.00000000000006" w:lineRule="auto"/>
        <w:ind w:right="-330"/>
        <w:jc w:val="both"/>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b w:val="1"/>
          <w:highlight w:val="yellow"/>
          <w:u w:val="single"/>
          <w:rtl w:val="0"/>
        </w:rPr>
        <w:t xml:space="preserve">Contoh Jawapan yang Sederhana</w:t>
      </w:r>
    </w:p>
    <w:p w:rsidR="00000000" w:rsidDel="00000000" w:rsidP="00000000" w:rsidRDefault="00000000" w:rsidRPr="00000000" w14:paraId="00000020">
      <w:pPr>
        <w:spacing w:after="160" w:line="278.00000000000006" w:lineRule="auto"/>
        <w:ind w:right="-33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Salah satu matlamat utama Falsafah Pendidikan Kebangsaan ialah melahirkan rakyat Malaysia yang berilmu pengetahuan. Terangkan </w:t>
      </w:r>
      <w:r w:rsidDel="00000000" w:rsidR="00000000" w:rsidRPr="00000000">
        <w:rPr>
          <w:rFonts w:ascii="Times New Roman" w:cs="Times New Roman" w:eastAsia="Times New Roman" w:hAnsi="Times New Roman"/>
          <w:b w:val="1"/>
          <w:u w:val="single"/>
          <w:rtl w:val="0"/>
        </w:rPr>
        <w:t xml:space="preserve">TIGA</w:t>
      </w:r>
      <w:r w:rsidDel="00000000" w:rsidR="00000000" w:rsidRPr="00000000">
        <w:rPr>
          <w:rFonts w:ascii="Times New Roman" w:cs="Times New Roman" w:eastAsia="Times New Roman" w:hAnsi="Times New Roman"/>
          <w:u w:val="single"/>
          <w:rtl w:val="0"/>
        </w:rPr>
        <w:t xml:space="preserve"> masalah yang dihadapi dalam usaha melahirkan rakyat yang berilmu agar seiring dengan matlamat </w:t>
      </w:r>
      <w:hyperlink r:id="rId7">
        <w:r w:rsidDel="00000000" w:rsidR="00000000" w:rsidRPr="00000000">
          <w:rPr>
            <w:rFonts w:ascii="Times New Roman" w:cs="Times New Roman" w:eastAsia="Times New Roman" w:hAnsi="Times New Roman"/>
            <w:u w:val="single"/>
            <w:rtl w:val="0"/>
          </w:rPr>
          <w:t xml:space="preserve">SDG ke-4 </w:t>
        </w:r>
      </w:hyperlink>
      <w:r w:rsidDel="00000000" w:rsidR="00000000" w:rsidRPr="00000000">
        <w:rPr>
          <w:rFonts w:ascii="Times New Roman" w:cs="Times New Roman" w:eastAsia="Times New Roman" w:hAnsi="Times New Roman"/>
          <w:u w:val="single"/>
          <w:rtl w:val="0"/>
        </w:rPr>
        <w:t xml:space="preserve">Pendidikan Berkualiti.</w:t>
      </w:r>
      <w:r w:rsidDel="00000000" w:rsidR="00000000" w:rsidRPr="00000000">
        <w:rPr>
          <w:rFonts w:ascii="Times New Roman" w:cs="Times New Roman" w:eastAsia="Times New Roman" w:hAnsi="Times New Roman"/>
          <w:rtl w:val="0"/>
        </w:rPr>
        <w:t xml:space="preserve"> </w:t>
        <w:tab/>
        <w:tab/>
        <w:tab/>
        <w:t xml:space="preserve">   (100 Markah)</w:t>
      </w:r>
      <w:r w:rsidDel="00000000" w:rsidR="00000000" w:rsidRPr="00000000">
        <w:rPr>
          <w:rtl w:val="0"/>
        </w:rPr>
      </w:r>
    </w:p>
    <w:p w:rsidR="00000000" w:rsidDel="00000000" w:rsidP="00000000" w:rsidRDefault="00000000" w:rsidRPr="00000000" w14:paraId="00000021">
      <w:pPr>
        <w:spacing w:line="278.00000000000006" w:lineRule="auto"/>
        <w:ind w:right="-3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Masalah pertama yang dihadapi dalam usaha melahirkan rakyat Malaysia yang berilmu pengetahuan agar seiring dengan SDG ke-4 ialah kesedaran yang tinggi dalam meningkatkan ilmu pengetahuan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0M - tidak menjawab kehendak soalan</w:t>
      </w:r>
      <w:r w:rsidDel="00000000" w:rsidR="00000000" w:rsidRPr="00000000">
        <w:rPr>
          <w:rFonts w:ascii="Times New Roman" w:cs="Times New Roman" w:eastAsia="Times New Roman" w:hAnsi="Times New Roman"/>
          <w:rtl w:val="0"/>
        </w:rPr>
        <w:t xml:space="preserve">) Kita melihat bahawa sesetengah guru, pelajar dan ibu bapa hanya fokus kepada pencapaian keputusan peperiksaan semata-mata tetapi akhirnya pelajar tidak dapat mempraktikkan ilmu yang dipelajari. (2M) Hal ini akan menyebabkan matlamat SDG tidak dipentingkan. (</w:t>
      </w:r>
      <w:r w:rsidDel="00000000" w:rsidR="00000000" w:rsidRPr="00000000">
        <w:rPr>
          <w:rFonts w:ascii="Times New Roman" w:cs="Times New Roman" w:eastAsia="Times New Roman" w:hAnsi="Times New Roman"/>
          <w:color w:val="ff0000"/>
          <w:rtl w:val="0"/>
        </w:rPr>
        <w:t xml:space="preserve">1M - kurang jelas</w:t>
      </w:r>
      <w:r w:rsidDel="00000000" w:rsidR="00000000" w:rsidRPr="00000000">
        <w:rPr>
          <w:rFonts w:ascii="Times New Roman" w:cs="Times New Roman" w:eastAsia="Times New Roman" w:hAnsi="Times New Roman"/>
          <w:rtl w:val="0"/>
        </w:rPr>
        <w:t xml:space="preserve">) Ini bermaksud kesedaran tinggi adalah masalah utama. (</w:t>
      </w:r>
      <w:r w:rsidDel="00000000" w:rsidR="00000000" w:rsidRPr="00000000">
        <w:rPr>
          <w:rFonts w:ascii="Times New Roman" w:cs="Times New Roman" w:eastAsia="Times New Roman" w:hAnsi="Times New Roman"/>
          <w:color w:val="ff0000"/>
          <w:rtl w:val="0"/>
        </w:rPr>
        <w:t xml:space="preserve">0M - terpesong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line="278.00000000000006" w:lineRule="auto"/>
        <w:ind w:right="-3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8.00000000000006" w:lineRule="auto"/>
        <w:ind w:right="-3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Masalah kedua yang dihadapi dalam melahirkan rakyat yang berilmu dan mencapai SDG ke-4 ialah sistem pendidikan yang tidak menggalakkan pelajar berfikir secara kritis.</w:t>
      </w:r>
      <w:r w:rsidDel="00000000" w:rsidR="00000000" w:rsidRPr="00000000">
        <w:rPr>
          <w:rFonts w:ascii="Times New Roman" w:cs="Times New Roman" w:eastAsia="Times New Roman" w:hAnsi="Times New Roman"/>
          <w:rtl w:val="0"/>
        </w:rPr>
        <w:t xml:space="preserve"> (2M) Hal ini berlaku kerana sistem pembelajaran dan peperiksaan memberi tumpuan kepada penghafalan berbanding dengan penggunaan elemen rasional dalam memahami sesuatu teori yang dipelajari. (2M) Keadaan ini akan menyumbang kepada kegagalan melahirkan generasi berilmu pengetahuan dan menjejaskan kualiti pendidikan kerana pelajar tidak mampu memahami tujuan dan kepentingan sebenar sesuatu ilmu. (2M) Jadi, pendidikan yang tidak menggalakkan pelajar berfikiran kritis menjadi masalah untuk melahirkan rakyat yang berilmu dan mencapai SDG ke-4. (</w:t>
      </w:r>
      <w:r w:rsidDel="00000000" w:rsidR="00000000" w:rsidRPr="00000000">
        <w:rPr>
          <w:rFonts w:ascii="Times New Roman" w:cs="Times New Roman" w:eastAsia="Times New Roman" w:hAnsi="Times New Roman"/>
          <w:color w:val="ff0000"/>
          <w:rtl w:val="0"/>
        </w:rPr>
        <w:t xml:space="preserve">0M - ulang</w:t>
      </w:r>
      <w:r w:rsidDel="00000000" w:rsidR="00000000" w:rsidRPr="00000000">
        <w:rPr>
          <w:rFonts w:ascii="Times New Roman" w:cs="Times New Roman" w:eastAsia="Times New Roman" w:hAnsi="Times New Roman"/>
          <w:rtl w:val="0"/>
        </w:rPr>
        <w:t xml:space="preserve"> isi utama)</w:t>
      </w:r>
    </w:p>
    <w:p w:rsidR="00000000" w:rsidDel="00000000" w:rsidP="00000000" w:rsidRDefault="00000000" w:rsidRPr="00000000" w14:paraId="00000024">
      <w:pPr>
        <w:spacing w:line="278.00000000000006" w:lineRule="auto"/>
        <w:ind w:right="-3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8.00000000000006" w:lineRule="auto"/>
        <w:ind w:right="-3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Masalah terakhir ialah campur tangan sesetengah ahli politik yang mengutamakan perjuangan peribadi dalam sistem pendidikan. </w:t>
      </w:r>
      <w:r w:rsidDel="00000000" w:rsidR="00000000" w:rsidRPr="00000000">
        <w:rPr>
          <w:rFonts w:ascii="Times New Roman" w:cs="Times New Roman" w:eastAsia="Times New Roman" w:hAnsi="Times New Roman"/>
          <w:rtl w:val="0"/>
        </w:rPr>
        <w:t xml:space="preserve">(2M) Hal ini berlaku kerana sesuatu dasar yang digubal berkaitan dengan pendidikan adalah bergantung kepada kehendak parti politik yang memerintah dan bukannya berfokuskan keperluan sebenar dalam sistem pendidikan. (2M) Oleh itu, dalam penggubalan dasar pendidikan adalah perlu untuk mengambil pandangan dan pendapat golongan pendidik supaya elemen berilmu pengetahuan mampu diwujudkan agar kita memahami kepentingan sesuatu teori atau idea yang diperkenalkan. (2M - huraian “langkah” yang pertama boleh diterima) Selain itu, ahli politik juga boleh mendengar pandangan ibu bapa sebelum sesuatu dasar diperkenalkan agar dapat membantu meningkatkan kualiti sistem pendidikan negara. (</w:t>
      </w:r>
      <w:r w:rsidDel="00000000" w:rsidR="00000000" w:rsidRPr="00000000">
        <w:rPr>
          <w:rFonts w:ascii="Times New Roman" w:cs="Times New Roman" w:eastAsia="Times New Roman" w:hAnsi="Times New Roman"/>
          <w:color w:val="ff0000"/>
          <w:rtl w:val="0"/>
        </w:rPr>
        <w:t xml:space="preserve">0M - huraian “langkah”yang ke-2 tidak diterima kerana kehendak utama soalan ialah “masalah”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line="240" w:lineRule="auto"/>
        <w:jc w:val="both"/>
        <w:rPr>
          <w:rFonts w:ascii="Times New Roman" w:cs="Times New Roman" w:eastAsia="Times New Roman" w:hAnsi="Times New Roman"/>
        </w:rPr>
      </w:pPr>
      <w:r w:rsidDel="00000000" w:rsidR="00000000" w:rsidRPr="00000000">
        <w:rPr>
          <w:rtl w:val="0"/>
        </w:rPr>
      </w:r>
    </w:p>
    <w:tbl>
      <w:tblPr>
        <w:tblStyle w:val="Table3"/>
        <w:tblW w:w="951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3030"/>
        <w:tblGridChange w:id="0">
          <w:tblGrid>
            <w:gridCol w:w="6480"/>
            <w:gridCol w:w="3030"/>
          </w:tblGrid>
        </w:tblGridChange>
      </w:tblGrid>
      <w:tr>
        <w:trPr>
          <w:cantSplit w:val="0"/>
          <w:trHeight w:val="162" w:hRule="atLeast"/>
          <w:tblHeader w:val="0"/>
        </w:trPr>
        <w:tc>
          <w:tcPr>
            <w:shd w:fill="efefef" w:val="clear"/>
            <w:tcMar>
              <w:top w:w="86.0" w:type="dxa"/>
              <w:left w:w="86.0" w:type="dxa"/>
              <w:bottom w:w="86.0" w:type="dxa"/>
              <w:right w:w="86.0" w:type="dxa"/>
            </w:tcMar>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KRITERIA PEMARKAHAN</w:t>
            </w:r>
            <w:r w:rsidDel="00000000" w:rsidR="00000000" w:rsidRPr="00000000">
              <w:rPr>
                <w:rtl w:val="0"/>
              </w:rPr>
            </w:r>
          </w:p>
        </w:tc>
        <w:tc>
          <w:tcPr>
            <w:shd w:fill="efefef" w:val="clear"/>
            <w:tcMar>
              <w:top w:w="86.0" w:type="dxa"/>
              <w:left w:w="86.0" w:type="dxa"/>
              <w:bottom w:w="86.0" w:type="dxa"/>
              <w:right w:w="86.0" w:type="dxa"/>
            </w:tcMar>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SKOR</w:t>
            </w:r>
          </w:p>
        </w:tc>
      </w:tr>
      <w:tr>
        <w:trPr>
          <w:cantSplit w:val="0"/>
          <w:tblHeader w:val="0"/>
        </w:trPr>
        <w:tc>
          <w:tcPr>
            <w:tcMar>
              <w:top w:w="86.0" w:type="dxa"/>
              <w:left w:w="86.0" w:type="dxa"/>
              <w:bottom w:w="86.0" w:type="dxa"/>
              <w:right w:w="86.0" w:type="dxa"/>
            </w:tcMar>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Isi</w:t>
            </w:r>
          </w:p>
        </w:tc>
        <w:tc>
          <w:tcPr>
            <w:tcMar>
              <w:top w:w="86.0" w:type="dxa"/>
              <w:left w:w="86.0" w:type="dxa"/>
              <w:bottom w:w="86.0" w:type="dxa"/>
              <w:right w:w="86.0" w:type="dxa"/>
            </w:tcMa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24</w:t>
            </w:r>
          </w:p>
        </w:tc>
      </w:tr>
      <w:tr>
        <w:trPr>
          <w:cantSplit w:val="0"/>
          <w:trHeight w:val="1691" w:hRule="atLeast"/>
          <w:tblHeader w:val="0"/>
        </w:trPr>
        <w:tc>
          <w:tcPr>
            <w:tcMar>
              <w:top w:w="86.0" w:type="dxa"/>
              <w:left w:w="86.0" w:type="dxa"/>
              <w:bottom w:w="86.0" w:type="dxa"/>
              <w:right w:w="86.0" w:type="dxa"/>
            </w:tcMar>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Gaya Penulisan</w:t>
            </w:r>
          </w:p>
          <w:tbl>
            <w:tblPr>
              <w:tblStyle w:val="Table4"/>
              <w:tblW w:w="6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040"/>
              <w:gridCol w:w="2250"/>
              <w:tblGridChange w:id="0">
                <w:tblGrid>
                  <w:gridCol w:w="1965"/>
                  <w:gridCol w:w="2040"/>
                  <w:gridCol w:w="22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5-6</w:t>
                  </w:r>
                </w:p>
              </w:tc>
            </w:tr>
            <w:tr>
              <w:trPr>
                <w:cantSplit w:val="0"/>
                <w:tblHeader w:val="0"/>
              </w:trPr>
              <w:tc>
                <w:tcPr/>
                <w:p w:rsidR="00000000" w:rsidDel="00000000" w:rsidP="00000000" w:rsidRDefault="00000000" w:rsidRPr="00000000" w14:paraId="0000002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Penulisan umum yang hanya fokus pada satu aspek sahaja (falsafah atau isu semasa) </w:t>
                  </w:r>
                </w:p>
              </w:tc>
              <w:tc>
                <w:tcPr/>
                <w:p w:rsidR="00000000" w:rsidDel="00000000" w:rsidP="00000000" w:rsidRDefault="00000000" w:rsidRPr="00000000" w14:paraId="0000003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Penulisan bercampur aduk antara umum dan terperinci.</w:t>
                  </w:r>
                </w:p>
              </w:tc>
              <w:tc>
                <w:tcPr/>
                <w:p w:rsidR="00000000" w:rsidDel="00000000" w:rsidP="00000000" w:rsidRDefault="00000000" w:rsidRPr="00000000" w14:paraId="0000003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Penulisan terperinci yang mengambil kira kedua-dua aspek (falsafah &amp; isu semasa)  </w:t>
                  </w:r>
                </w:p>
              </w:tc>
            </w:tr>
          </w:tbl>
          <w:p w:rsidR="00000000" w:rsidDel="00000000" w:rsidP="00000000" w:rsidRDefault="00000000" w:rsidRPr="00000000" w14:paraId="00000032">
            <w:pPr>
              <w:widowControl w:val="0"/>
              <w:spacing w:line="240" w:lineRule="auto"/>
              <w:rPr>
                <w:rFonts w:ascii="Times New Roman" w:cs="Times New Roman" w:eastAsia="Times New Roman" w:hAnsi="Times New Roman"/>
                <w:sz w:val="4"/>
                <w:szCs w:val="4"/>
              </w:rPr>
            </w:pPr>
            <w:r w:rsidDel="00000000" w:rsidR="00000000" w:rsidRPr="00000000">
              <w:rPr>
                <w:rtl w:val="0"/>
              </w:rPr>
            </w:r>
          </w:p>
        </w:tc>
        <w:tc>
          <w:tcPr>
            <w:tcMar>
              <w:top w:w="86.0" w:type="dxa"/>
              <w:left w:w="86.0" w:type="dxa"/>
              <w:bottom w:w="86.0" w:type="dxa"/>
              <w:right w:w="86.0" w:type="dxa"/>
            </w:tcMa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6</w:t>
            </w:r>
          </w:p>
        </w:tc>
      </w:tr>
      <w:tr>
        <w:trPr>
          <w:cantSplit w:val="0"/>
          <w:tblHeader w:val="0"/>
        </w:trPr>
        <w:tc>
          <w:tcPr>
            <w:tcMar>
              <w:top w:w="86.0" w:type="dxa"/>
              <w:left w:w="86.0" w:type="dxa"/>
              <w:bottom w:w="86.0" w:type="dxa"/>
              <w:right w:w="86.0" w:type="dxa"/>
            </w:tcMar>
            <w:vAlign w:val="center"/>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Jumlah (100 markah)</w:t>
            </w:r>
          </w:p>
        </w:tc>
        <w:tc>
          <w:tcPr>
            <w:tcMar>
              <w:top w:w="86.0" w:type="dxa"/>
              <w:left w:w="86.0" w:type="dxa"/>
              <w:bottom w:w="86.0" w:type="dxa"/>
              <w:right w:w="86.0" w:type="dxa"/>
            </w:tcMa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19   / 30 x 100 : </w:t>
            </w:r>
            <w:r w:rsidDel="00000000" w:rsidR="00000000" w:rsidRPr="00000000">
              <w:rPr>
                <w:rFonts w:ascii="Times New Roman" w:cs="Times New Roman" w:eastAsia="Times New Roman" w:hAnsi="Times New Roman"/>
                <w:rtl w:val="0"/>
              </w:rPr>
              <w:t xml:space="preserve">63.33 =&gt; 63%</w:t>
            </w:r>
            <w:r w:rsidDel="00000000" w:rsidR="00000000" w:rsidRPr="00000000">
              <w:rPr>
                <w:rtl w:val="0"/>
              </w:rPr>
            </w:r>
          </w:p>
        </w:tc>
      </w:tr>
    </w:tbl>
    <w:p w:rsidR="00000000" w:rsidDel="00000000" w:rsidP="00000000" w:rsidRDefault="00000000" w:rsidRPr="00000000" w14:paraId="00000039">
      <w:pPr>
        <w:spacing w:line="240" w:lineRule="auto"/>
        <w:jc w:val="both"/>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6838" w:w="11906" w:orient="portrait"/>
      <w:pgMar w:bottom="645"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udit.utem.edu.my/images/SDG/Slaid%20Pengenalan%20SDG.pdf" TargetMode="External"/><Relationship Id="rId7" Type="http://schemas.openxmlformats.org/officeDocument/2006/relationships/hyperlink" Target="https://audit.utem.edu.my/images/SDG/Slaid%20Pengenalan%20SDG.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