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sz w:val="36"/>
        </w:rPr>
        <w:t>Technical Specification: OpenXML Visual Feedback Pipeline</w:t>
      </w:r>
    </w:p>
    <w:p>
      <w:pPr>
        <w:pStyle w:val="Heading1"/>
        <w:spacing w:before="80" w:after="40"/>
      </w:pPr>
      <w:r>
        <w:t>Table of Contents</w:t>
      </w:r>
    </w:p>
    <w:sdt>
      <w:sdtContent>
        <w:p>
          <w:pPr>
            <w:pStyle w:val="TOC1"/>
            <w:ind w:left="0"/>
            <w:spacing w:before="40" w:after="60"/>
            <w:tabs>
              <w:tab w:val="right" w:leader="dot" w:pos="9360"/>
            </w:tabs>
          </w:pPr>
          <w:r>
            <w:rPr>
              <w:b/>
            </w:rPr>
            <w:t>1. Executive Summary &amp; Indentation Verification</w:t>
          </w:r>
          <w:r>
            <w:tab/>
          </w:r>
          <w:r>
            <w:t>1</w:t>
          </w:r>
        </w:p>
        <w:p>
          <w:pPr>
            <w:pStyle w:val="TOC2"/>
            <w:ind w:left="360"/>
            <w:spacing w:before="0" w:after="60"/>
            <w:tabs>
              <w:tab w:val="right" w:leader="dot" w:pos="9360"/>
            </w:tabs>
          </w:pPr>
          <w:r>
            <w:t>1.1 Tab Stop &amp; Hanging Indent Alignment</w:t>
          </w:r>
          <w:r>
            <w:tab/>
          </w:r>
          <w:r>
            <w:t>1</w:t>
          </w:r>
        </w:p>
        <w:p>
          <w:pPr>
            <w:pStyle w:val="TOC2"/>
            <w:ind w:left="360"/>
            <w:spacing w:before="0" w:after="60"/>
            <w:tabs>
              <w:tab w:val="right" w:leader="dot" w:pos="9360"/>
            </w:tabs>
          </w:pPr>
          <w:r>
            <w:t>1.2 Multi-Level Lists &amp; Sub-Clauses</w:t>
          </w:r>
          <w:r>
            <w:tab/>
          </w:r>
          <w:r>
            <w:t>1</w:t>
          </w:r>
        </w:p>
        <w:p>
          <w:pPr>
            <w:pStyle w:val="TOC1"/>
            <w:ind w:left="0"/>
            <w:spacing w:before="40" w:after="60"/>
            <w:tabs>
              <w:tab w:val="right" w:leader="dot" w:pos="9360"/>
            </w:tabs>
          </w:pPr>
          <w:r>
            <w:rPr>
              <w:b/>
            </w:rPr>
            <w:t>2. Performance &amp; Financial Metrics Table</w:t>
          </w:r>
          <w:r>
            <w:tab/>
          </w:r>
          <w:r>
            <w:t>1</w:t>
          </w:r>
        </w:p>
        <w:p>
          <w:pPr>
            <w:pStyle w:val="TOC1"/>
            <w:ind w:left="0"/>
            <w:spacing w:before="40" w:after="60"/>
            <w:tabs>
              <w:tab w:val="right" w:leader="dot" w:pos="9360"/>
            </w:tabs>
          </w:pPr>
          <w:r>
            <w:rPr>
              <w:b/>
            </w:rPr>
            <w:t>3. System Architecture Figure</w:t>
          </w:r>
          <w:r>
            <w:tab/>
          </w:r>
          <w:r>
            <w:t>1</w:t>
          </w:r>
        </w:p>
      </w:sdtContent>
    </w:sdt>
    <w:p>
      <w:pPr>
        <w:pStyle w:val="Heading1"/>
        <w:spacing w:before="160" w:after="40"/>
      </w:pPr>
      <w:r>
        <w:t>1. Executive Summary &amp; Indentation Verification</w:t>
      </w:r>
    </w:p>
    <w:p>
      <w:pPr>
        <w:spacing w:after="80"/>
        <w:jc w:val="both"/>
      </w:pPr>
      <w:r>
        <w:t>This document tests exact spatial positioning in Twips and EMUs. When an LLM edits raw OpenXML, it relies on rendered page PNGs to verify paragraph indents, tab stops, table column widths, and figures.</w:t>
      </w:r>
    </w:p>
    <w:p>
      <w:pPr>
        <w:pStyle w:val="Heading2"/>
        <w:spacing w:before="120" w:after="40"/>
      </w:pPr>
      <w:r>
        <w:t>1.1 Tab Stop &amp; Hanging Indent Alignment</w:t>
      </w:r>
    </w:p>
    <w:p>
      <w:pPr>
        <w:spacing w:before="0" w:after="40"/>
        <w:ind w:left="0"/>
      </w:pPr>
      <w:r>
        <w:rPr>
          <w:sz w:val="19"/>
        </w:rPr>
        <w:t>Clause 1.0 (0.0" margin): Properly aligned at the primary left margin.</w:t>
      </w:r>
    </w:p>
    <w:p>
      <w:pPr>
        <w:spacing w:before="0" w:after="40"/>
        <w:ind w:left="720"/>
      </w:pPr>
      <w:r>
        <w:rPr>
          <w:sz w:val="19"/>
        </w:rPr>
        <w:t>Clause 1.1 (0.5" / 1 Tab): Indented exactly one standard tab stop over.</w:t>
      </w:r>
    </w:p>
    <w:p>
      <w:pPr>
        <w:spacing w:before="0" w:after="40"/>
        <w:ind w:left="1440"/>
      </w:pPr>
      <w:r>
        <w:rPr>
          <w:sz w:val="19"/>
        </w:rPr>
        <w:t>Clause 1.1.1 (1.0" / 2 Tabs): Indented two tab stops for nested sub-items.</w:t>
      </w:r>
    </w:p>
    <w:p>
      <w:pPr>
        <w:spacing w:before="0" w:after="40"/>
        <w:ind w:left="2160"/>
      </w:pPr>
      <w:r>
        <w:rPr>
          <w:b/>
          <w:color w:val="C00000"/>
          <w:sz w:val="19"/>
        </w:rPr>
        <w:t>Clause 1.1.2 (1.5" / 3 Tabs — MISMATCH DEMO): Intentionally indented one extra tab over!</w:t>
      </w:r>
    </w:p>
    <w:p>
      <w:pPr>
        <w:spacing w:before="0" w:after="40"/>
        <w:ind w:left="1440"/>
      </w:pPr>
      <w:r>
        <w:rPr>
          <w:sz w:val="19"/>
        </w:rPr>
        <w:t>Clause 1.1.3 (1.0" / 2 Tabs): Returned to the expected two-tab sibling alignment.</w:t>
      </w:r>
    </w:p>
    <w:p>
      <w:pPr>
        <w:pStyle w:val="Heading2"/>
        <w:spacing w:before="120" w:after="40"/>
      </w:pPr>
      <w:r>
        <w:t>1.2 Multi-Level Lists &amp; Sub-Clauses</w:t>
      </w:r>
    </w:p>
    <w:p>
      <w:pPr>
        <w:pStyle w:val="ListBullet"/>
        <w:spacing w:before="0" w:after="40"/>
      </w:pPr>
      <w:r>
        <w:t>Primary bullet item rendered via numbering.xml with hanging indent.</w:t>
      </w:r>
    </w:p>
    <w:p>
      <w:pPr>
        <w:pStyle w:val="ListBullet"/>
        <w:spacing w:before="0" w:after="40"/>
      </w:pPr>
      <w:r>
        <w:t>Secondary bullet item verifying consistent horizontal alignment after bullet marker.</w:t>
      </w:r>
    </w:p>
    <w:p>
      <w:pPr>
        <w:pStyle w:val="Heading1"/>
        <w:spacing w:before="160" w:after="60"/>
      </w:pPr>
      <w:r>
        <w:t>2. Performance &amp; Financial Metrics Table</w:t>
      </w:r>
    </w:p>
    <w:tbl>
      <w:tblPr>
        <w:tblW w:type="auto" w:w="0"/>
        <w:jc w:val="center"/>
        <w:tblLook w:firstColumn="1" w:firstRow="1" w:lastColumn="0" w:lastRow="0" w:noHBand="0" w:noVBand="1" w:val="04A0"/>
        <w:tblBorders>
          <w:top w:val="single" w:sz="6" w:space="0" w:color="8EA9DB"/>
          <w:bottom w:val="single" w:sz="6" w:space="0" w:color="8EA9DB"/>
          <w:left w:val="single" w:sz="6" w:space="0" w:color="8EA9DB"/>
          <w:right w:val="single" w:sz="6" w:space="0" w:color="8EA9DB"/>
          <w:insideH w:val="single" w:sz="6" w:space="0" w:color="8EA9DB"/>
          <w:insideV w:val="single" w:sz="6" w:space="0" w:color="8EA9DB"/>
        </w:tblBorders>
      </w:tblPr>
      <w:tblGrid>
        <w:gridCol w:w="2340"/>
        <w:gridCol w:w="2340"/>
        <w:gridCol w:w="2340"/>
        <w:gridCol w:w="2340"/>
      </w:tblGrid>
      <w:tr>
        <w:tc>
          <w:tcPr>
            <w:tcW w:type="dxa" w:w="2304"/>
            <w:shd w:val="clear" w:color="auto" w:fill="2F5496"/>
          </w:tcPr>
          <w:p>
            <w:pPr>
              <w:jc w:val="left"/>
            </w:pPr>
            <w:r>
              <w:rPr>
                <w:b/>
                <w:color w:val="FFFFFF"/>
                <w:sz w:val="19"/>
              </w:rPr>
              <w:t>Component</w:t>
            </w:r>
          </w:p>
        </w:tc>
        <w:tc>
          <w:tcPr>
            <w:tcW w:type="dxa" w:w="2736"/>
            <w:shd w:val="clear" w:color="auto" w:fill="2F5496"/>
          </w:tcPr>
          <w:p>
            <w:pPr>
              <w:jc w:val="left"/>
            </w:pPr>
            <w:r>
              <w:rPr>
                <w:b/>
                <w:color w:val="FFFFFF"/>
                <w:sz w:val="19"/>
              </w:rPr>
              <w:t>Subsystem / Metric</w:t>
            </w:r>
          </w:p>
        </w:tc>
        <w:tc>
          <w:tcPr>
            <w:tcW w:type="dxa" w:w="2160"/>
            <w:shd w:val="clear" w:color="auto" w:fill="2F5496"/>
          </w:tcPr>
          <w:p>
            <w:pPr>
              <w:jc w:val="center"/>
            </w:pPr>
            <w:r>
              <w:rPr>
                <w:b/>
                <w:color w:val="FFFFFF"/>
                <w:sz w:val="19"/>
              </w:rPr>
              <w:t>Target SLA</w:t>
            </w:r>
          </w:p>
        </w:tc>
        <w:tc>
          <w:tcPr>
            <w:tcW w:type="dxa" w:w="2160"/>
            <w:shd w:val="clear" w:color="auto" w:fill="2F5496"/>
          </w:tcPr>
          <w:p>
            <w:pPr>
              <w:jc w:val="center"/>
            </w:pPr>
            <w:r>
              <w:rPr>
                <w:b/>
                <w:color w:val="FFFFFF"/>
                <w:sz w:val="19"/>
              </w:rPr>
              <w:t>Measured</w:t>
            </w:r>
          </w:p>
        </w:tc>
      </w:tr>
      <w:tr>
        <w:tc>
          <w:tcPr>
            <w:tcW w:type="dxa" w:w="2304"/>
            <w:vMerge w:val="restart"/>
            <w:shd w:val="clear" w:color="auto" w:fill="D9E2F3"/>
            <w:vAlign w:val="center"/>
          </w:tcPr>
          <w:p>
            <w:pPr>
              <w:jc w:val="left"/>
            </w:pPr>
            <w:r>
              <w:rPr>
                <w:b/>
                <w:sz w:val="19"/>
              </w:rPr>
              <w:t>Layout Engine</w:t>
            </w:r>
          </w:p>
        </w:tc>
        <w:tc>
          <w:tcPr>
            <w:tcW w:type="dxa" w:w="2736"/>
            <w:shd w:val="clear" w:color="auto" w:fill="D9E2F3"/>
          </w:tcPr>
          <w:p>
            <w:pPr>
              <w:jc w:val="left"/>
            </w:pPr>
            <w:r>
              <w:rPr>
                <w:sz w:val="19"/>
              </w:rPr>
              <w:t>Twips / Tab Stop Precision</w:t>
            </w:r>
          </w:p>
        </w:tc>
        <w:tc>
          <w:tcPr>
            <w:tcW w:type="dxa" w:w="2160"/>
            <w:shd w:val="clear" w:color="auto" w:fill="D9E2F3"/>
          </w:tcPr>
          <w:p>
            <w:pPr>
              <w:jc w:val="right"/>
            </w:pPr>
            <w:r>
              <w:rPr>
                <w:sz w:val="19"/>
              </w:rPr>
              <w:t>±0.5 pt</w:t>
            </w:r>
          </w:p>
        </w:tc>
        <w:tc>
          <w:tcPr>
            <w:tcW w:type="dxa" w:w="2160"/>
            <w:shd w:val="clear" w:color="auto" w:fill="D9E2F3"/>
          </w:tcPr>
          <w:p>
            <w:pPr>
              <w:jc w:val="right"/>
            </w:pPr>
            <w:r>
              <w:rPr>
                <w:sz w:val="19"/>
              </w:rPr>
              <w:t>±0.1 pt</w:t>
            </w:r>
          </w:p>
        </w:tc>
      </w:tr>
      <w:tr>
        <w:tc>
          <w:tcPr>
            <w:tcW w:type="dxa" w:w="2304"/>
            <w:vMerge/>
            <w:shd w:val="clear" w:color="auto" w:fill="FFFFFF"/>
          </w:tcPr>
          <w:p/>
        </w:tc>
        <w:tc>
          <w:tcPr>
            <w:tcW w:type="dxa" w:w="2736"/>
            <w:shd w:val="clear" w:color="auto" w:fill="FFFFFF"/>
          </w:tcPr>
          <w:p>
            <w:pPr>
              <w:jc w:val="left"/>
            </w:pPr>
            <w:r>
              <w:rPr>
                <w:sz w:val="19"/>
              </w:rPr>
              <w:t>Table Grid &amp; Merge Resolution</w:t>
            </w:r>
          </w:p>
        </w:tc>
        <w:tc>
          <w:tcPr>
            <w:tcW w:type="dxa" w:w="2160"/>
            <w:shd w:val="clear" w:color="auto" w:fill="FFFFFF"/>
          </w:tcPr>
          <w:p>
            <w:pPr>
              <w:jc w:val="right"/>
            </w:pPr>
            <w:r>
              <w:rPr>
                <w:sz w:val="19"/>
              </w:rPr>
              <w:t>100%</w:t>
            </w:r>
          </w:p>
        </w:tc>
        <w:tc>
          <w:tcPr>
            <w:tcW w:type="dxa" w:w="2160"/>
            <w:shd w:val="clear" w:color="auto" w:fill="FFFFFF"/>
          </w:tcPr>
          <w:p>
            <w:pPr>
              <w:jc w:val="right"/>
            </w:pPr>
            <w:r>
              <w:rPr>
                <w:sz w:val="19"/>
              </w:rPr>
              <w:t>100%</w:t>
            </w:r>
          </w:p>
        </w:tc>
      </w:tr>
      <w:tr>
        <w:tc>
          <w:tcPr>
            <w:tcW w:type="dxa" w:w="2304"/>
            <w:shd w:val="clear" w:color="auto" w:fill="D9E2F3"/>
          </w:tcPr>
          <w:p>
            <w:pPr>
              <w:jc w:val="left"/>
            </w:pPr>
            <w:r>
              <w:rPr>
                <w:sz w:val="19"/>
              </w:rPr>
              <w:t>Canvas Renderer</w:t>
            </w:r>
          </w:p>
        </w:tc>
        <w:tc>
          <w:tcPr>
            <w:tcW w:type="dxa" w:w="2736"/>
            <w:shd w:val="clear" w:color="auto" w:fill="D9E2F3"/>
          </w:tcPr>
          <w:p>
            <w:pPr>
              <w:jc w:val="left"/>
            </w:pPr>
            <w:r>
              <w:rPr>
                <w:sz w:val="19"/>
              </w:rPr>
              <w:t>150 DPI Page Export Latency</w:t>
            </w:r>
          </w:p>
        </w:tc>
        <w:tc>
          <w:tcPr>
            <w:tcW w:type="dxa" w:w="2160"/>
            <w:shd w:val="clear" w:color="auto" w:fill="D9E2F3"/>
          </w:tcPr>
          <w:p>
            <w:pPr>
              <w:jc w:val="right"/>
            </w:pPr>
            <w:r>
              <w:rPr>
                <w:sz w:val="19"/>
              </w:rPr>
              <w:t>&lt; 50 ms</w:t>
            </w:r>
          </w:p>
        </w:tc>
        <w:tc>
          <w:tcPr>
            <w:tcW w:type="dxa" w:w="2160"/>
            <w:shd w:val="clear" w:color="auto" w:fill="D9E2F3"/>
          </w:tcPr>
          <w:p>
            <w:pPr>
              <w:jc w:val="right"/>
            </w:pPr>
            <w:r>
              <w:rPr>
                <w:sz w:val="19"/>
              </w:rPr>
              <w:t>18 ms</w:t>
            </w:r>
          </w:p>
        </w:tc>
      </w:tr>
      <w:tr>
        <w:tc>
          <w:tcPr>
            <w:tcW w:type="dxa" w:w="4680"/>
            <w:gridSpan w:val="2"/>
            <w:shd w:val="clear" w:color="auto" w:fill="EDEDED"/>
            <w:shd w:val="clear" w:color="auto" w:fill="EDEDED"/>
          </w:tcPr>
          <w:p>
            <w:r>
              <w:rPr>
                <w:b/>
                <w:sz w:val="19"/>
              </w:rPr>
              <w:t>Overall Pipeline Readiness (Offline Linux / SEMOSS MCP)</w:t>
            </w:r>
          </w:p>
        </w:tc>
        <w:tc>
          <w:tcPr>
            <w:tcW w:type="dxa" w:w="2340"/>
            <w:shd w:val="clear" w:color="auto" w:fill="EDEDED"/>
          </w:tcPr>
          <w:p>
            <w:pPr>
              <w:jc w:val="right"/>
            </w:pPr>
            <w:r>
              <w:rPr>
                <w:b/>
              </w:rPr>
              <w:t>99.9%</w:t>
            </w:r>
          </w:p>
        </w:tc>
        <w:tc>
          <w:tcPr>
            <w:tcW w:type="dxa" w:w="2340"/>
            <w:shd w:val="clear" w:color="auto" w:fill="EDEDED"/>
          </w:tcPr>
          <w:p>
            <w:pPr>
              <w:jc w:val="right"/>
            </w:pPr>
            <w:r>
              <w:rPr>
                <w:b/>
                <w:color w:val="385723"/>
              </w:rPr>
              <w:t>PASSED</w:t>
            </w:r>
          </w:p>
        </w:tc>
      </w:tr>
    </w:tbl>
    <w:p>
      <w:pPr>
        <w:pStyle w:val="Heading1"/>
        <w:spacing w:before="160" w:after="60"/>
      </w:pPr>
      <w:r>
        <w:t>3. System Architecture Figure</w:t>
      </w:r>
    </w:p>
    <w:p>
      <w:pPr>
        <w:spacing w:after="40"/>
        <w:jc w:val="center"/>
      </w:pPr>
      <w:r>
        <w:drawing>
          <wp:inline xmlns:a="http://schemas.openxmlformats.org/drawingml/2006/main" xmlns:pic="http://schemas.openxmlformats.org/drawingml/2006/picture">
            <wp:extent cx="3931920" cy="135159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31920" cy="1351598"/>
                    </a:xfrm>
                    <a:prstGeom prst="rect"/>
                  </pic:spPr>
                </pic:pic>
              </a:graphicData>
            </a:graphic>
          </wp:inline>
        </w:drawing>
      </w:r>
    </w:p>
    <w:p>
      <w:pPr>
        <w:jc w:val="center"/>
      </w:pPr>
      <w:r>
        <w:rPr>
          <w:i/>
          <w:color w:val="44546A"/>
          <w:sz w:val="18"/>
        </w:rPr>
        <w:t>Figure 1: Three-stage offline OpenXML to PNG rendering architecture.</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Confidential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SEMOSS MCP — High-Fidelity OpenXML Layout &amp; Rendering Showcase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