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b/>
          <w:bCs/>
          <w:color w:val="1F3864"/>
          <w:sz w:val="32"/>
          <w:szCs w:val="32"/>
        </w:rPr>
        <w:t xml:space="preserve">Project Specification Document</w:t>
      </w:r>
    </w:p>
    <w:p>
      <w:pPr>
        <w:spacing w:after="120" w:before="260"/>
      </w:pPr>
      <w:r>
        <w:rPr>
          <w:b/>
          <w:bCs/>
          <w:color w:val="1F3864"/>
          <w:sz w:val="26"/>
          <w:szCs w:val="26"/>
        </w:rPr>
        <w:t xml:space="preserve">Title</w:t>
      </w:r>
    </w:p>
    <w:p>
      <w:pPr>
        <w:spacing w:after="160" w:line="276"/>
      </w:pPr>
      <w:r>
        <w:t xml:space="preserve">Prioritizing Nursing Tasks from Longitudinal ICU EHR Data</w:t>
      </w:r>
    </w:p>
    <w:p>
      <w:pPr>
        <w:spacing w:after="120" w:before="260"/>
      </w:pPr>
      <w:r>
        <w:rPr>
          <w:b/>
          <w:bCs/>
          <w:color w:val="1F3864"/>
          <w:sz w:val="26"/>
          <w:szCs w:val="26"/>
        </w:rPr>
        <w:t xml:space="preserve">Team</w:t>
      </w:r>
    </w:p>
    <w:p>
      <w:pPr>
        <w:spacing w:after="0" w:line="276"/>
      </w:pPr>
      <w:r>
        <w:t xml:space="preserve">Peter Oburah</w:t>
      </w:r>
    </w:p>
    <w:p>
      <w:pPr>
        <w:spacing w:after="160" w:line="276"/>
      </w:pPr>
      <w:r>
        <w:t xml:space="preserve">Phil Collins Onyango</w:t>
      </w:r>
    </w:p>
    <w:p>
      <w:pPr>
        <w:spacing w:after="120" w:before="260"/>
      </w:pPr>
      <w:r>
        <w:rPr>
          <w:b/>
          <w:bCs/>
          <w:color w:val="1F3864"/>
          <w:sz w:val="26"/>
          <w:szCs w:val="26"/>
        </w:rPr>
        <w:t xml:space="preserve">1. Problem Statement and Motivation</w:t>
      </w:r>
    </w:p>
    <w:p>
      <w:pPr>
        <w:spacing w:after="160" w:line="276"/>
      </w:pPr>
      <w:r>
        <w:t xml:space="preserve">ICU nurses continuously manage competing demands across multiple patients at once: administering time-critical medications, responding to changing vital signs, following up on abnormal lab results, and monitoring patients after procedures. Deciding who needs attention first is currently based largely on individual clinical judgment and experience, applied under significant time pressure and with an incomplete, constantly shifting picture of each patient's state. This project asks whether longitudinal electronic health record (EHR) data, including bedside vitals, lab results, medication administration, and procedures, can be used to estimate a patient's near-term clinical risk and translate that into an objective, rankable urgency score across a whole patient panel: a compact but realistic example of linking multi-source, time-series clinical data into a decision-support pipeline.</w:t>
      </w:r>
    </w:p>
    <w:p>
      <w:pPr>
        <w:spacing w:after="120" w:before="260"/>
      </w:pPr>
      <w:r>
        <w:rPr>
          <w:b/>
          <w:bCs/>
          <w:color w:val="1F3864"/>
          <w:sz w:val="26"/>
          <w:szCs w:val="26"/>
        </w:rPr>
        <w:t xml:space="preserve">2. Datasets</w:t>
      </w:r>
    </w:p>
    <w:p>
      <w:pPr>
        <w:spacing w:after="160" w:line="276"/>
      </w:pPr>
      <w:r>
        <w:rPr>
          <w:b/>
          <w:bCs/>
        </w:rPr>
        <w:t xml:space="preserve">Dataset 1 (ICU clinical event streams): </w:t>
      </w:r>
      <w:r>
        <w:t xml:space="preserve">The MIMIC-IV Clinical Database Demo (PhysioNet), containing de-identified, timestamped clinical events for 100 ICU patients. This includes four linked event tables: </w:t>
      </w:r>
      <w:r>
        <w:rPr>
          <w:i/>
          <w:iCs/>
        </w:rPr>
        <w:t xml:space="preserve">chartevents</w:t>
      </w:r>
      <w:r>
        <w:t xml:space="preserve"> (bedside vitals and observations), </w:t>
      </w:r>
      <w:r>
        <w:rPr>
          <w:i/>
          <w:iCs/>
        </w:rPr>
        <w:t xml:space="preserve">labevents</w:t>
      </w:r>
      <w:r>
        <w:t xml:space="preserve"> (laboratory results), </w:t>
      </w:r>
      <w:r>
        <w:rPr>
          <w:i/>
          <w:iCs/>
        </w:rPr>
        <w:t xml:space="preserve">emar</w:t>
      </w:r>
      <w:r>
        <w:t xml:space="preserve"> and </w:t>
      </w:r>
      <w:r>
        <w:rPr>
          <w:i/>
          <w:iCs/>
        </w:rPr>
        <w:t xml:space="preserve">emar_detail</w:t>
      </w:r>
      <w:r>
        <w:t xml:space="preserve"> (medication administration records and dosing detail), and </w:t>
      </w:r>
      <w:r>
        <w:rPr>
          <w:i/>
          <w:iCs/>
        </w:rPr>
        <w:t xml:space="preserve">procedureevents</w:t>
      </w:r>
      <w:r>
        <w:t xml:space="preserve"> (procedures and interventions with start/end timing), indexed by patient identifier (</w:t>
      </w:r>
      <w:r>
        <w:rPr>
          <w:i/>
          <w:iCs/>
        </w:rPr>
        <w:t xml:space="preserve">subject_id</w:t>
      </w:r>
      <w:r>
        <w:t xml:space="preserve">) and ICU stay identifier (</w:t>
      </w:r>
      <w:r>
        <w:rPr>
          <w:i/>
          <w:iCs/>
        </w:rPr>
        <w:t xml:space="preserve">stay_id</w:t>
      </w:r>
      <w:r>
        <w:t xml:space="preserve">). Format: CSV files organized under </w:t>
      </w:r>
      <w:r>
        <w:rPr>
          <w:i/>
          <w:iCs/>
        </w:rPr>
        <w:t xml:space="preserve">hosp/</w:t>
      </w:r>
      <w:r>
        <w:t xml:space="preserve"> and </w:t>
      </w:r>
      <w:r>
        <w:rPr>
          <w:i/>
          <w:iCs/>
        </w:rPr>
        <w:t xml:space="preserve">icu/</w:t>
      </w:r>
      <w:r>
        <w:t xml:space="preserve"> directories. License: public, PhysioNet-hosted, open access, no credentialing required for the demo subset. Source: </w:t>
      </w:r>
      <w:r>
        <w:rPr>
          <w:color w:val="1155CC"/>
          <w:u w:val="single"/>
        </w:rPr>
        <w:t xml:space="preserve">https://physionet.org/content/mimic-iv-demo/2.2/</w:t>
      </w:r>
    </w:p>
    <w:p>
      <w:pPr>
        <w:spacing w:after="160" w:line="276"/>
      </w:pPr>
      <w:r>
        <w:rPr>
          <w:b/>
          <w:bCs/>
        </w:rPr>
        <w:t xml:space="preserve">Dataset 2 (Patient and admission metadata): </w:t>
      </w:r>
      <w:r>
        <w:t xml:space="preserve">The accompanying patient-, admission-, and ICU-stay-level tables from the same MIMIC-IV demo release (</w:t>
      </w:r>
      <w:r>
        <w:rPr>
          <w:i/>
          <w:iCs/>
        </w:rPr>
        <w:t xml:space="preserve">patients</w:t>
      </w:r>
      <w:r>
        <w:t xml:space="preserve">, </w:t>
      </w:r>
      <w:r>
        <w:rPr>
          <w:i/>
          <w:iCs/>
        </w:rPr>
        <w:t xml:space="preserve">admissions</w:t>
      </w:r>
      <w:r>
        <w:t xml:space="preserve">, </w:t>
      </w:r>
      <w:r>
        <w:rPr>
          <w:i/>
          <w:iCs/>
        </w:rPr>
        <w:t xml:space="preserve">icustays</w:t>
      </w:r>
      <w:r>
        <w:t xml:space="preserve">), reporting per-patient fields such as age, admission type, ICU length of stay, and mortality flag, indexed by the same </w:t>
      </w:r>
      <w:r>
        <w:rPr>
          <w:i/>
          <w:iCs/>
        </w:rPr>
        <w:t xml:space="preserve">subject_id</w:t>
      </w:r>
      <w:r>
        <w:t xml:space="preserve">/</w:t>
      </w:r>
      <w:r>
        <w:rPr>
          <w:i/>
          <w:iCs/>
        </w:rPr>
        <w:t xml:space="preserve">stay_id</w:t>
      </w:r>
      <w:r>
        <w:t xml:space="preserve"> keys. Format: CSV. License: same public PhysioNet terms. Source (same release): </w:t>
      </w:r>
      <w:r>
        <w:rPr>
          <w:color w:val="1155CC"/>
          <w:u w:val="single"/>
        </w:rPr>
        <w:t xml:space="preserve">https://physionet.org/content/mimic-iv-demo/2.2/</w:t>
      </w:r>
    </w:p>
    <w:p>
      <w:pPr>
        <w:spacing w:after="160" w:line="276"/>
      </w:pPr>
      <w:r>
        <w:rPr>
          <w:b/>
          <w:bCs/>
          <w:i/>
          <w:iCs/>
        </w:rPr>
        <w:t xml:space="preserve">Note: </w:t>
      </w:r>
      <w:r>
        <w:rPr>
          <w:i/>
          <w:iCs/>
        </w:rPr>
        <w:t xml:space="preserve">both datasets originate from the same MIMIC-IV source database, but represent two structurally distinct components, a time-varying clinical event stream and static patient/admission context, that must be joined before analysis, analogous to how the sample specification treats expression and clinical-metadata files from the same GEO series as two datasets.</w:t>
      </w:r>
    </w:p>
    <w:p>
      <w:pPr>
        <w:spacing w:after="120" w:before="260"/>
      </w:pPr>
      <w:r>
        <w:rPr>
          <w:b/>
          <w:bCs/>
          <w:color w:val="1F3864"/>
          <w:sz w:val="26"/>
          <w:szCs w:val="26"/>
        </w:rPr>
        <w:t xml:space="preserve">3. Dataset Relationship</w:t>
      </w:r>
    </w:p>
    <w:p>
      <w:pPr>
        <w:spacing w:after="160" w:line="276"/>
      </w:pPr>
      <w:r>
        <w:t xml:space="preserve">Both datasets share the patient identifier (subject_id) and ICU stay identifier (stay_id) as common keys. Joining them produces a single patient-hour trajectory table combining longitudinal clinical events (vitals, labs, medications, procedures) with patient-level context (age, admission type, stay duration). The event data alone has no stable patient-level context, and the metadata alone has no time-varying clinical signal, so the prioritization analysis depends on the join.</w:t>
      </w:r>
    </w:p>
    <w:p>
      <w:pPr>
        <w:spacing w:after="120" w:before="260"/>
      </w:pPr>
      <w:r>
        <w:rPr>
          <w:b/>
          <w:bCs/>
          <w:color w:val="1F3864"/>
          <w:sz w:val="26"/>
          <w:szCs w:val="26"/>
        </w:rPr>
        <w:t xml:space="preserve">4. Proposed KDD Methods</w:t>
      </w:r>
    </w:p>
    <w:p>
      <w:pPr>
        <w:pStyle w:val="ListParagraph"/>
        <w:numPr>
          <w:ilvl w:val="0"/>
          <w:numId w:val="2"/>
        </w:numPr>
        <w:spacing w:after="100" w:line="276"/>
      </w:pPr>
      <w:r>
        <w:rPr>
          <w:b/>
          <w:bCs/>
        </w:rPr>
        <w:t xml:space="preserve">Preprocessing: </w:t>
      </w:r>
      <w:r>
        <w:t xml:space="preserve">normalize all four event tables into a common long format (patient_id, event_time, event_type, value, end_time); aggregate into fixed hourly windows to build a patient-hour trajectory table; represent interval events (procedures, infusions) as active/inactive flags with elapsed duration; retain a time-since-last-observed feature per variable to capture informative missingness.</w:t>
      </w:r>
    </w:p>
    <w:p>
      <w:pPr>
        <w:pStyle w:val="ListParagraph"/>
        <w:numPr>
          <w:ilvl w:val="0"/>
          <w:numId w:val="2"/>
        </w:numPr>
        <w:spacing w:after="100" w:line="276"/>
      </w:pPr>
      <w:r>
        <w:rPr>
          <w:b/>
          <w:bCs/>
        </w:rPr>
        <w:t xml:space="preserve">Feature engineering: </w:t>
      </w:r>
      <w:r>
        <w:t xml:space="preserve">derive trend/slope features from vitals and labs, abnormal-value flags against clinical thresholds, medication timing features (time to next scheduled dose), and post-procedure monitoring-window indicators.</w:t>
      </w:r>
    </w:p>
    <w:p>
      <w:pPr>
        <w:pStyle w:val="ListParagraph"/>
        <w:numPr>
          <w:ilvl w:val="0"/>
          <w:numId w:val="2"/>
        </w:numPr>
        <w:spacing w:after="100" w:line="276"/>
      </w:pPr>
      <w:r>
        <w:rPr>
          <w:b/>
          <w:bCs/>
        </w:rPr>
        <w:t xml:space="preserve">Supervised learning, Technique A (primary): </w:t>
      </w:r>
      <w:r>
        <w:t xml:space="preserve">gradient-boosted trees (e.g., XGBoost) over the windowed patient-hour features to predict the probability of a clinically significant adverse event (deterioration, rapid response activation, or unplanned transfer) within a short horizon. Chosen as the primary approach for its strong performance on tabular data, built-in handling of missing values, and interpretability via feature importance.</w:t>
      </w:r>
    </w:p>
    <w:p>
      <w:pPr>
        <w:pStyle w:val="ListParagraph"/>
        <w:numPr>
          <w:ilvl w:val="0"/>
          <w:numId w:val="2"/>
        </w:numPr>
        <w:spacing w:after="100" w:line="276"/>
      </w:pPr>
      <w:r>
        <w:rPr>
          <w:b/>
          <w:bCs/>
        </w:rPr>
        <w:t xml:space="preserve">Supervised learning, Technique B (sequence alternative): </w:t>
      </w:r>
      <w:r>
        <w:t xml:space="preserve">a GRU/LSTM sequence model, specifically GRU-D, consuming the full patient trajectory directly rather than a single hourly snapshot, learning temporal patterns without hand-engineered trend features. GRU-D is well suited to irregular, frequently missing EHR data since it incorporates elapsed time since each variable was last observed directly into the network. Evaluated as a second technique to compare against Technique A, trading some interpretability for potentially richer temporal modeling.</w:t>
      </w:r>
    </w:p>
    <w:p>
      <w:pPr>
        <w:pStyle w:val="ListParagraph"/>
        <w:numPr>
          <w:ilvl w:val="0"/>
          <w:numId w:val="2"/>
        </w:numPr>
        <w:spacing w:after="100" w:line="276"/>
      </w:pPr>
      <w:r>
        <w:rPr>
          <w:b/>
          <w:bCs/>
        </w:rPr>
        <w:t xml:space="preserve">Unsupervised learning: </w:t>
      </w:r>
      <w:r>
        <w:t xml:space="preserve">k-means or hierarchical clustering on patient-hour feature vectors to identify natural acuity groupings, compared against both supervised models' risk scores and any clinically flagged escalation events.</w:t>
      </w:r>
    </w:p>
    <w:p>
      <w:pPr>
        <w:pStyle w:val="ListParagraph"/>
        <w:numPr>
          <w:ilvl w:val="0"/>
          <w:numId w:val="2"/>
        </w:numPr>
        <w:spacing w:after="100" w:line="276"/>
      </w:pPr>
      <w:r>
        <w:rPr>
          <w:b/>
          <w:bCs/>
        </w:rPr>
        <w:t xml:space="preserve">Ranking layer: </w:t>
      </w:r>
      <w:r>
        <w:t xml:space="preserve">a learning-to-rank model (e.g., LambdaMART) combining predicted risk with task-type urgency factors to produce a single prioritized task list across all patients simultaneously.</w:t>
      </w:r>
    </w:p>
    <w:p>
      <w:pPr>
        <w:pStyle w:val="ListParagraph"/>
        <w:numPr>
          <w:ilvl w:val="0"/>
          <w:numId w:val="2"/>
        </w:numPr>
        <w:spacing w:after="100" w:line="276"/>
      </w:pPr>
      <w:r>
        <w:rPr>
          <w:b/>
          <w:bCs/>
        </w:rPr>
        <w:t xml:space="preserve">Evaluation: </w:t>
      </w:r>
      <w:r>
        <w:t xml:space="preserve">AUROC/AUPRC and calibration for the risk model (AUPRC weighted heavily given class imbalance); NDCG@k for ranking quality; silhouette score and cross-tabulation with risk labels for the clustering task.</w:t>
      </w:r>
    </w:p>
    <w:p>
      <w:pPr>
        <w:spacing w:after="120" w:before="260"/>
      </w:pPr>
      <w:r>
        <w:rPr>
          <w:b/>
          <w:bCs/>
          <w:color w:val="1F3864"/>
          <w:sz w:val="26"/>
          <w:szCs w:val="26"/>
        </w:rPr>
        <w:t xml:space="preserve">5. Feasibility and Scope Justification (6-8 weeks)</w:t>
      </w:r>
    </w:p>
    <w:p>
      <w:pPr>
        <w:spacing w:after="160" w:line="276"/>
      </w:pPr>
      <w:r>
        <w:t xml:space="preserve">The MIMIC-IV Clinical Database Demo is public and immediately downloadable with no credentialing wait, avoiding open-ended data-access delays. A 100-patient sample keeps preprocessing and modeling tractable in Colab without specialized compute, while still containing enough longitudinal events across four linked tables to build a meaningful patient-hour trajectory dataset. Comparing two supervised modeling techniques (gradient-boosted trees and a GRU-D sequence model) alongside one clustering task is a well-scoped analysis for a single student in this timeframe, and the plan avoids open-ended data collection or infrastructure work.</w:t>
      </w:r>
    </w:p>
    <w:p>
      <w:pPr>
        <w:spacing w:after="120" w:before="260"/>
      </w:pPr>
      <w:r>
        <w:rPr>
          <w:b/>
          <w:bCs/>
          <w:color w:val="1F3864"/>
          <w:sz w:val="26"/>
          <w:szCs w:val="26"/>
        </w:rPr>
        <w:t xml:space="preserve">6. Preliminary Work Plan</w:t>
      </w:r>
    </w:p>
    <w:tbl>
      <w:tblPr>
        <w:tblW w:type="pct" w:w="100%"/>
        <w:tblBorders>
          <w:top w:val="single" w:color="999999" w:sz="4"/>
          <w:left w:val="single" w:color="999999" w:sz="4"/>
          <w:bottom w:val="single" w:color="999999" w:sz="4"/>
          <w:right w:val="single" w:color="999999" w:sz="4"/>
          <w:insideH w:val="single" w:color="CCCCCC" w:sz="4"/>
          <w:insideV w:val="single" w:color="CCCCCC" w:sz="4"/>
        </w:tblBorders>
      </w:tblPr>
      <w:tblGrid>
        <w:gridCol w:w="100"/>
        <w:gridCol w:w="100"/>
      </w:tblGrid>
      <w:tr>
        <w:trPr>
          <w:tblHeader/>
        </w:trPr>
        <w:tc>
          <w:tcPr>
            <w:tcW w:type="pct" w:w="15%"/>
            <w:shd w:fill="1F3864" w:color="auto" w:val="clear"/>
            <w:tcMar>
              <w:top w:type="dxa" w:w="100"/>
              <w:left w:type="dxa" w:w="120"/>
              <w:bottom w:type="dxa" w:w="100"/>
              <w:right w:type="dxa" w:w="120"/>
            </w:tcMar>
            <w:vAlign w:val="center"/>
          </w:tcPr>
          <w:p>
            <w:r>
              <w:rPr>
                <w:b/>
                <w:bCs/>
                <w:color w:val="FFFFFF"/>
              </w:rPr>
              <w:t xml:space="preserve">Week</w:t>
            </w:r>
          </w:p>
        </w:tc>
        <w:tc>
          <w:tcPr>
            <w:tcW w:type="pct" w:w="85%"/>
            <w:shd w:fill="1F3864" w:color="auto" w:val="clear"/>
            <w:tcMar>
              <w:top w:type="dxa" w:w="100"/>
              <w:left w:type="dxa" w:w="120"/>
              <w:bottom w:type="dxa" w:w="100"/>
              <w:right w:type="dxa" w:w="120"/>
            </w:tcMar>
            <w:vAlign w:val="center"/>
          </w:tcPr>
          <w:p>
            <w:r>
              <w:rPr>
                <w:b/>
                <w:bCs/>
                <w:color w:val="FFFFFF"/>
              </w:rPr>
              <w:t xml:space="preserve">Planned Work</w:t>
            </w:r>
          </w:p>
        </w:tc>
      </w:tr>
      <w:tr>
        <w:tc>
          <w:tcPr>
            <w:tcMar>
              <w:top w:type="dxa" w:w="80"/>
              <w:left w:type="dxa" w:w="120"/>
              <w:bottom w:type="dxa" w:w="80"/>
              <w:right w:type="dxa" w:w="120"/>
            </w:tcMar>
            <w:vAlign w:val="center"/>
          </w:tcPr>
          <w:p>
            <w:r>
              <w:t xml:space="preserve">1</w:t>
            </w:r>
          </w:p>
        </w:tc>
        <w:tc>
          <w:tcPr>
            <w:tcMar>
              <w:top w:type="dxa" w:w="80"/>
              <w:left w:type="dxa" w:w="120"/>
              <w:bottom w:type="dxa" w:w="80"/>
              <w:right w:type="dxa" w:w="120"/>
            </w:tcMar>
          </w:tcPr>
          <w:p>
            <w:r>
              <w:t xml:space="preserve">Download MIMIC-IV demo data; normalize event tables into long format and join on patient/stay ID</w:t>
            </w:r>
          </w:p>
        </w:tc>
      </w:tr>
      <w:tr>
        <w:tc>
          <w:tcPr>
            <w:shd w:fill="F2F2F2" w:color="auto" w:val="clear"/>
            <w:tcMar>
              <w:top w:type="dxa" w:w="80"/>
              <w:left w:type="dxa" w:w="120"/>
              <w:bottom w:type="dxa" w:w="80"/>
              <w:right w:type="dxa" w:w="120"/>
            </w:tcMar>
            <w:vAlign w:val="center"/>
          </w:tcPr>
          <w:p>
            <w:r>
              <w:t xml:space="preserve">2</w:t>
            </w:r>
          </w:p>
        </w:tc>
        <w:tc>
          <w:tcPr>
            <w:shd w:fill="F2F2F2" w:color="auto" w:val="clear"/>
            <w:tcMar>
              <w:top w:type="dxa" w:w="80"/>
              <w:left w:type="dxa" w:w="120"/>
              <w:bottom w:type="dxa" w:w="80"/>
              <w:right w:type="dxa" w:w="120"/>
            </w:tcMar>
          </w:tcPr>
          <w:p>
            <w:r>
              <w:t xml:space="preserve">Exploratory data analysis; assess missingness (skim); build patient-hour trajectory table</w:t>
            </w:r>
          </w:p>
        </w:tc>
      </w:tr>
      <w:tr>
        <w:tc>
          <w:tcPr>
            <w:tcMar>
              <w:top w:type="dxa" w:w="80"/>
              <w:left w:type="dxa" w:w="120"/>
              <w:bottom w:type="dxa" w:w="80"/>
              <w:right w:type="dxa" w:w="120"/>
            </w:tcMar>
            <w:vAlign w:val="center"/>
          </w:tcPr>
          <w:p>
            <w:r>
              <w:t xml:space="preserve">3</w:t>
            </w:r>
          </w:p>
        </w:tc>
        <w:tc>
          <w:tcPr>
            <w:tcMar>
              <w:top w:type="dxa" w:w="80"/>
              <w:left w:type="dxa" w:w="120"/>
              <w:bottom w:type="dxa" w:w="80"/>
              <w:right w:type="dxa" w:w="120"/>
            </w:tcMar>
          </w:tcPr>
          <w:p>
            <w:r>
              <w:t xml:space="preserve">Feature engineering (trends, abnormal flags, medication timing, procedure windows)</w:t>
            </w:r>
          </w:p>
        </w:tc>
      </w:tr>
      <w:tr>
        <w:tc>
          <w:tcPr>
            <w:shd w:fill="F2F2F2" w:color="auto" w:val="clear"/>
            <w:tcMar>
              <w:top w:type="dxa" w:w="80"/>
              <w:left w:type="dxa" w:w="120"/>
              <w:bottom w:type="dxa" w:w="80"/>
              <w:right w:type="dxa" w:w="120"/>
            </w:tcMar>
            <w:vAlign w:val="center"/>
          </w:tcPr>
          <w:p>
            <w:r>
              <w:t xml:space="preserve">4</w:t>
            </w:r>
          </w:p>
        </w:tc>
        <w:tc>
          <w:tcPr>
            <w:shd w:fill="F2F2F2" w:color="auto" w:val="clear"/>
            <w:tcMar>
              <w:top w:type="dxa" w:w="80"/>
              <w:left w:type="dxa" w:w="120"/>
              <w:bottom w:type="dxa" w:w="80"/>
              <w:right w:type="dxa" w:w="120"/>
            </w:tcMar>
          </w:tcPr>
          <w:p>
            <w:r>
              <w:t xml:space="preserve">Baseline supervised risk model (gradient-boosted trees)</w:t>
            </w:r>
          </w:p>
        </w:tc>
      </w:tr>
      <w:tr>
        <w:tc>
          <w:tcPr>
            <w:tcMar>
              <w:top w:type="dxa" w:w="80"/>
              <w:left w:type="dxa" w:w="120"/>
              <w:bottom w:type="dxa" w:w="80"/>
              <w:right w:type="dxa" w:w="120"/>
            </w:tcMar>
            <w:vAlign w:val="center"/>
          </w:tcPr>
          <w:p>
            <w:r>
              <w:t xml:space="preserve">5</w:t>
            </w:r>
          </w:p>
        </w:tc>
        <w:tc>
          <w:tcPr>
            <w:tcMar>
              <w:top w:type="dxa" w:w="80"/>
              <w:left w:type="dxa" w:w="120"/>
              <w:bottom w:type="dxa" w:w="80"/>
              <w:right w:type="dxa" w:w="120"/>
            </w:tcMar>
          </w:tcPr>
          <w:p>
            <w:r>
              <w:t xml:space="preserve">Clustering analysis; compare clusters to model risk scores</w:t>
            </w:r>
          </w:p>
        </w:tc>
      </w:tr>
      <w:tr>
        <w:tc>
          <w:tcPr>
            <w:shd w:fill="F2F2F2" w:color="auto" w:val="clear"/>
            <w:tcMar>
              <w:top w:type="dxa" w:w="80"/>
              <w:left w:type="dxa" w:w="120"/>
              <w:bottom w:type="dxa" w:w="80"/>
              <w:right w:type="dxa" w:w="120"/>
            </w:tcMar>
            <w:vAlign w:val="center"/>
          </w:tcPr>
          <w:p>
            <w:r>
              <w:t xml:space="preserve">6</w:t>
            </w:r>
          </w:p>
        </w:tc>
        <w:tc>
          <w:tcPr>
            <w:shd w:fill="F2F2F2" w:color="auto" w:val="clear"/>
            <w:tcMar>
              <w:top w:type="dxa" w:w="80"/>
              <w:left w:type="dxa" w:w="120"/>
              <w:bottom w:type="dxa" w:w="80"/>
              <w:right w:type="dxa" w:w="120"/>
            </w:tcMar>
          </w:tcPr>
          <w:p>
            <w:r>
              <w:t xml:space="preserve">Ranking layer; model tuning and evaluation; compare approaches</w:t>
            </w:r>
          </w:p>
        </w:tc>
      </w:tr>
      <w:tr>
        <w:tc>
          <w:tcPr>
            <w:tcMar>
              <w:top w:type="dxa" w:w="80"/>
              <w:left w:type="dxa" w:w="120"/>
              <w:bottom w:type="dxa" w:w="80"/>
              <w:right w:type="dxa" w:w="120"/>
            </w:tcMar>
            <w:vAlign w:val="center"/>
          </w:tcPr>
          <w:p>
            <w:r>
              <w:t xml:space="preserve">7</w:t>
            </w:r>
          </w:p>
        </w:tc>
        <w:tc>
          <w:tcPr>
            <w:tcMar>
              <w:top w:type="dxa" w:w="80"/>
              <w:left w:type="dxa" w:w="120"/>
              <w:bottom w:type="dxa" w:w="80"/>
              <w:right w:type="dxa" w:w="120"/>
            </w:tcMar>
          </w:tcPr>
          <w:p>
            <w:r>
              <w:t xml:space="preserve">Draft final report; prepare presentation</w:t>
            </w:r>
          </w:p>
        </w:tc>
      </w:tr>
      <w:tr>
        <w:tc>
          <w:tcPr>
            <w:shd w:fill="F2F2F2" w:color="auto" w:val="clear"/>
            <w:tcMar>
              <w:top w:type="dxa" w:w="80"/>
              <w:left w:type="dxa" w:w="120"/>
              <w:bottom w:type="dxa" w:w="80"/>
              <w:right w:type="dxa" w:w="120"/>
            </w:tcMar>
            <w:vAlign w:val="center"/>
          </w:tcPr>
          <w:p>
            <w:r>
              <w:t xml:space="preserve">8 (buffer)</w:t>
            </w:r>
          </w:p>
        </w:tc>
        <w:tc>
          <w:tcPr>
            <w:shd w:fill="F2F2F2" w:color="auto" w:val="clear"/>
            <w:tcMar>
              <w:top w:type="dxa" w:w="80"/>
              <w:left w:type="dxa" w:w="120"/>
              <w:bottom w:type="dxa" w:w="80"/>
              <w:right w:type="dxa" w:w="120"/>
            </w:tcMar>
          </w:tcPr>
          <w:p>
            <w:r>
              <w:t xml:space="preserve">Finalize report, polish notebook, rehearse presentation</w:t>
            </w:r>
          </w:p>
        </w:tc>
      </w:tr>
    </w:tbl>
    <w:p>
      <w:pPr>
        <w:spacing w:before="160"/>
      </w:pPr>
    </w:p>
    <w:p>
      <w:pPr>
        <w:spacing w:after="120" w:before="260"/>
      </w:pPr>
      <w:r>
        <w:rPr>
          <w:b/>
          <w:bCs/>
          <w:color w:val="1F3864"/>
          <w:sz w:val="26"/>
          <w:szCs w:val="26"/>
        </w:rPr>
        <w:t xml:space="preserve">7. Tools and Environment</w:t>
      </w:r>
    </w:p>
    <w:p>
      <w:pPr>
        <w:spacing w:after="160" w:line="276"/>
      </w:pPr>
      <w:r>
        <w:t xml:space="preserve">Google Colab / Jupyter Notebook (Python: pandas, NumPy, scikit-learn for preprocessing and clustering; xgboost or lightgbm for the gradient-boosted tree model; PyTorch for the GRU-D sequence model; seaborn/matplotlib for visualization).</w:t>
      </w:r>
    </w:p>
    <w:p>
      <w:pPr>
        <w:spacing w:after="120" w:before="260"/>
      </w:pPr>
      <w:r>
        <w:rPr>
          <w:b/>
          <w:bCs/>
          <w:color w:val="1F3864"/>
          <w:sz w:val="26"/>
          <w:szCs w:val="26"/>
        </w:rPr>
        <w:t xml:space="preserve">8. Expected Challenges and Risks</w:t>
      </w:r>
    </w:p>
    <w:p>
      <w:pPr>
        <w:pStyle w:val="ListParagraph"/>
        <w:numPr>
          <w:ilvl w:val="0"/>
          <w:numId w:val="2"/>
        </w:numPr>
        <w:spacing w:after="100" w:line="276"/>
      </w:pPr>
      <w:r>
        <w:rPr>
          <w:b/>
          <w:bCs/>
        </w:rPr>
        <w:t xml:space="preserve">Irregular and informative sampling: </w:t>
      </w:r>
      <w:r>
        <w:t xml:space="preserve">measurement frequency correlates with perceived severity; mitigated by encoding time-since-observation as an explicit feature rather than imputing naively.</w:t>
      </w:r>
    </w:p>
    <w:p>
      <w:pPr>
        <w:pStyle w:val="ListParagraph"/>
        <w:numPr>
          <w:ilvl w:val="0"/>
          <w:numId w:val="2"/>
        </w:numPr>
        <w:spacing w:after="100" w:line="276"/>
      </w:pPr>
      <w:r>
        <w:rPr>
          <w:b/>
          <w:bCs/>
        </w:rPr>
        <w:t xml:space="preserve">Non-random missingness: </w:t>
      </w:r>
      <w:r>
        <w:t xml:space="preserve">missing values often reflect a clinical decision, not randomness; mitigated by using masking flags instead of mean-fill imputation.</w:t>
      </w:r>
    </w:p>
    <w:p>
      <w:pPr>
        <w:pStyle w:val="ListParagraph"/>
        <w:numPr>
          <w:ilvl w:val="0"/>
          <w:numId w:val="2"/>
        </w:numPr>
        <w:spacing w:after="100" w:line="276"/>
      </w:pPr>
      <w:r>
        <w:rPr>
          <w:b/>
          <w:bCs/>
        </w:rPr>
        <w:t xml:space="preserve">Small sample size (100 patients) limiting statistical power: </w:t>
      </w:r>
      <w:r>
        <w:t xml:space="preserve">mitigated by focusing on patient-hours (a much larger effective sample) rather than patient-level counts, and by favoring simpler, more data-efficient models over deep sequence models at this scale.</w:t>
      </w:r>
    </w:p>
    <w:p>
      <w:pPr>
        <w:pStyle w:val="ListParagraph"/>
        <w:numPr>
          <w:ilvl w:val="0"/>
          <w:numId w:val="2"/>
        </w:numPr>
        <w:spacing w:after="100" w:line="276"/>
      </w:pPr>
      <w:r>
        <w:rPr>
          <w:b/>
          <w:bCs/>
        </w:rPr>
        <w:t xml:space="preserve">Class imbalance among adverse events: </w:t>
      </w:r>
      <w:r>
        <w:t xml:space="preserve">addressed via imbalance-aware evaluation metrics (AUPRC, F1) rather than raw accuracy alone.</w:t>
      </w:r>
    </w:p>
    <w:p>
      <w:pPr>
        <w:pStyle w:val="ListParagraph"/>
        <w:numPr>
          <w:ilvl w:val="0"/>
          <w:numId w:val="2"/>
        </w:numPr>
        <w:spacing w:after="100" w:line="276"/>
      </w:pPr>
      <w:r>
        <w:rPr>
          <w:b/>
          <w:bCs/>
        </w:rPr>
        <w:t xml:space="preserve">Confounding by existing clinical response: </w:t>
      </w:r>
      <w:r>
        <w:t xml:space="preserve">clinicians already act on perceived risk, so observed associations partly reflect treated, not natural, trajectories; mitigated through careful feature-time alignment and cautious causal interpretation.</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2026-09-23T20:43:26.182Z</dcterms:created>
  <dcterms:modified xsi:type="dcterms:W3CDTF">2026-09-23T20:43:26.182Z</dcterms:modified>
</cp:coreProperties>
</file>

<file path=docProps/custom.xml><?xml version="1.0" encoding="utf-8"?>
<Properties xmlns="http://schemas.openxmlformats.org/officeDocument/2006/custom-properties" xmlns:vt="http://schemas.openxmlformats.org/officeDocument/2006/docPropsVTypes"/>
</file>