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Nurse Task Prioritization Technical Response</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Here’s a flow diagram for the task completion</w:t>
      </w:r>
      <w:r w:rsidDel="00000000" w:rsidR="00000000" w:rsidRPr="00000000">
        <w:rPr>
          <w:rFonts w:ascii="Times New Roman" w:cs="Times New Roman" w:eastAsia="Times New Roman" w:hAnsi="Times New Roman"/>
          <w:sz w:val="24"/>
          <w:szCs w:val="24"/>
        </w:rPr>
        <w:drawing>
          <wp:inline distB="114300" distT="114300" distL="114300" distR="114300">
            <wp:extent cx="6715815" cy="300013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715815" cy="300013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1. Organizing and Combining Events Over Time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five event tables (chartevents, labevents, emar, emar_detail, procedureevents) share the same three core fields: patient ID, timestamp, and what happened. This makes it possible to normalize them into one common long-format table: (patient_id, event_time, event_type, value, end_time).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there, events are grouped into fixed time windows (e.g., hourly bins) to build a patient-hour trajectory table, one row per patient per hour, summarizing vitals, labs, medications, and procedures for that hour. Interval events like procedures or infusions are represented as "active/inactive" flags with elapsed duration rather than single timestamps, since they span a period rather than a moment. A parallel "time since last observed" column is kept for each feature, since measurement timing itself is informative.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allows patients to be compared row by row, feeds cleanly into a model (which needs consistent structured input), and makes trends easy to spot over time.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Features Extracted From Each Table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chartevents</w:t>
      </w:r>
      <w:r w:rsidDel="00000000" w:rsidR="00000000" w:rsidRPr="00000000">
        <w:rPr>
          <w:rFonts w:ascii="Times New Roman" w:cs="Times New Roman" w:eastAsia="Times New Roman" w:hAnsi="Times New Roman"/>
          <w:sz w:val="24"/>
          <w:szCs w:val="24"/>
          <w:rtl w:val="0"/>
        </w:rPr>
        <w:t xml:space="preserve">: current vitals and deviation from normal range (e.g., HR &gt; 120, MAP &lt; 65); trend/slope over the last 30–60 minutes; composite early-warning scores (NEWS, SOFA); device-related signals (ventilator settings, new line placement).</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labevents:</w:t>
      </w:r>
      <w:r w:rsidDel="00000000" w:rsidR="00000000" w:rsidRPr="00000000">
        <w:rPr>
          <w:rFonts w:ascii="Times New Roman" w:cs="Times New Roman" w:eastAsia="Times New Roman" w:hAnsi="Times New Roman"/>
          <w:sz w:val="24"/>
          <w:szCs w:val="24"/>
          <w:rtl w:val="0"/>
        </w:rPr>
        <w:t xml:space="preserve"> abnormal-value flags and distance from normal range; rate of change (e.g., rising lactate, dropping hemoglobin); time since last result; derived organ-dysfunction indicators (e.g., AKI stage from creatinine).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emar / emar_detail</w:t>
      </w:r>
      <w:r w:rsidDel="00000000" w:rsidR="00000000" w:rsidRPr="00000000">
        <w:rPr>
          <w:rFonts w:ascii="Times New Roman" w:cs="Times New Roman" w:eastAsia="Times New Roman" w:hAnsi="Times New Roman"/>
          <w:sz w:val="24"/>
          <w:szCs w:val="24"/>
          <w:rtl w:val="0"/>
        </w:rPr>
        <w:t xml:space="preserve">: recent medication administrations and route; dose changes or titration of high-risk drugs (vasopressors, insulin); scheduled vs. PRN dosing, including overdue doses; presence of high-alert medications requiring monitoring.</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procedureevents</w:t>
      </w:r>
      <w:r w:rsidDel="00000000" w:rsidR="00000000" w:rsidRPr="00000000">
        <w:rPr>
          <w:rFonts w:ascii="Times New Roman" w:cs="Times New Roman" w:eastAsia="Times New Roman" w:hAnsi="Times New Roman"/>
          <w:sz w:val="24"/>
          <w:szCs w:val="24"/>
          <w:rtl w:val="0"/>
        </w:rPr>
        <w:t xml:space="preserve">: recent or upcoming procedures and their post-procedure monitoring windows; procedure risk level; associated orders (e.g., frequent vitals after transfusion).</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Assigning a Priority Score Across Multiple Patients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differ in type, so they can't be compared on raw values. The shared question across every task is: "If this isn't done right away, how bad could it get, and how soon?" This splits into two components: Severity (how dangerous if ignored) and Time Pressure (how soon it becomes a problem). These combine as: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Score = Severity × Time Pressure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Pressure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 Score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Insulin due in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rising 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Post-Exhubation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Lactate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r>
    </w:tbl>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Ranked order: B (64) → D (63) → A (54) → C (42)</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and time pressure can come from a rule-based checklist (simple, explainable, but rigid) or be learned from historical outcome data (more flexible, feeds into Question 4).</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Machine Learning Approach, Target, and Evaluation</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Approach</w:t>
      </w:r>
      <w:r w:rsidDel="00000000" w:rsidR="00000000" w:rsidRPr="00000000">
        <w:rPr>
          <w:rFonts w:ascii="Times New Roman" w:cs="Times New Roman" w:eastAsia="Times New Roman" w:hAnsi="Times New Roman"/>
          <w:sz w:val="24"/>
          <w:szCs w:val="24"/>
          <w:rtl w:val="0"/>
        </w:rPr>
        <w:t xml:space="preserve">: frame this as a risk-prediction model feeding into a ranking layer. Stage 1 trains a model (gradient-boosted trees, or a survival/time-to-event model) to estimate the probability of a significant decline within a short horizon (e.g., 1–4 hours). Stage 2 applies a learning-to-rank model (e.g., LambdaMART) to directly order tasks across all patients.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approach:</w:t>
      </w:r>
      <w:r w:rsidDel="00000000" w:rsidR="00000000" w:rsidRPr="00000000">
        <w:rPr>
          <w:rFonts w:ascii="Times New Roman" w:cs="Times New Roman" w:eastAsia="Times New Roman" w:hAnsi="Times New Roman"/>
          <w:sz w:val="24"/>
          <w:szCs w:val="24"/>
          <w:rtl w:val="0"/>
        </w:rPr>
        <w:t xml:space="preserve"> a GRU/LSTM sequence model, specifically GRU-D, consumes the full patient trajectory directly rather than a single snapshot, learning temporal patterns without hand-engineered trend features. GRU-D is well-suited to irregular, frequently missing EHR data since it incorporates elapsed time since each variable was last observed directly into the network. This captures richer temporal dynamics but needs more labeled data and sacrifices some interpretability.</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target (Y_t): a well-defined, objective adverse outcome (clinical deterioration, rapid response activation, or unplanned transfer) within a horizon h, not a reconstruction of historical nurse behavior, which would encode staffing bias rather than clinical urgency.</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compares predicted risk (Ŷ_t) against actual outcome (Y_t):</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accuracy: AUROC, AUPRC (weighted heavily given rare events), calibration</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quality: NDCG@k, checking whether the most urgent patients land at the top of the list</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utility: false-alert rate, number needed to alert, and ideally a retrospective "silent mode" or pilot comparison before live deployment</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Major Data Challenges and Mitigations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Irregular/informative sampling</w:t>
      </w:r>
      <w:r w:rsidDel="00000000" w:rsidR="00000000" w:rsidRPr="00000000">
        <w:rPr>
          <w:rFonts w:ascii="Times New Roman" w:cs="Times New Roman" w:eastAsia="Times New Roman" w:hAnsi="Times New Roman"/>
          <w:sz w:val="24"/>
          <w:szCs w:val="24"/>
          <w:rtl w:val="0"/>
        </w:rPr>
        <w:t xml:space="preserve">: measurement frequency reflects perceived severity, so encode time-since-observation as a feature rather than imputing naively.</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Non-random missingness:</w:t>
      </w:r>
      <w:r w:rsidDel="00000000" w:rsidR="00000000" w:rsidRPr="00000000">
        <w:rPr>
          <w:rFonts w:ascii="Times New Roman" w:cs="Times New Roman" w:eastAsia="Times New Roman" w:hAnsi="Times New Roman"/>
          <w:sz w:val="24"/>
          <w:szCs w:val="24"/>
          <w:rtl w:val="0"/>
        </w:rPr>
        <w:t xml:space="preserve"> a missing value often reflects a clinical decision, not randomness, so use masking plus time-decay (GRU-D) instead of mean-fill imputation.</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Confounding by clinical response:</w:t>
      </w:r>
      <w:r w:rsidDel="00000000" w:rsidR="00000000" w:rsidRPr="00000000">
        <w:rPr>
          <w:rFonts w:ascii="Times New Roman" w:cs="Times New Roman" w:eastAsia="Times New Roman" w:hAnsi="Times New Roman"/>
          <w:sz w:val="24"/>
          <w:szCs w:val="24"/>
          <w:rtl w:val="0"/>
        </w:rPr>
        <w:t xml:space="preserve"> clinicians already act on perceived risk, so the data reflects treated, not natural, trajectories; requires careful feature-time alignment and causal caution.</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Label scarcity / class imbalance:</w:t>
      </w:r>
      <w:r w:rsidDel="00000000" w:rsidR="00000000" w:rsidRPr="00000000">
        <w:rPr>
          <w:rFonts w:ascii="Times New Roman" w:cs="Times New Roman" w:eastAsia="Times New Roman" w:hAnsi="Times New Roman"/>
          <w:sz w:val="24"/>
          <w:szCs w:val="24"/>
          <w:rtl w:val="0"/>
        </w:rPr>
        <w:t xml:space="preserve"> no ground-truth urgency label exists and adverse events are rare, so use imbalance-aware metrics (AUPRC) and clinician-annotated validation samples.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Timestamp leakage: </w:t>
      </w:r>
      <w:r w:rsidDel="00000000" w:rsidR="00000000" w:rsidRPr="00000000">
        <w:rPr>
          <w:rFonts w:ascii="Times New Roman" w:cs="Times New Roman" w:eastAsia="Times New Roman" w:hAnsi="Times New Roman"/>
          <w:sz w:val="24"/>
          <w:szCs w:val="24"/>
          <w:rtl w:val="0"/>
        </w:rPr>
        <w:t xml:space="preserve">delayed documentation can leak future information, so enforce strict point-in-time feature construction.</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Cross-source standardization</w:t>
      </w:r>
      <w:r w:rsidDel="00000000" w:rsidR="00000000" w:rsidRPr="00000000">
        <w:rPr>
          <w:rFonts w:ascii="Times New Roman" w:cs="Times New Roman" w:eastAsia="Times New Roman" w:hAnsi="Times New Roman"/>
          <w:sz w:val="24"/>
          <w:szCs w:val="24"/>
          <w:rtl w:val="0"/>
        </w:rPr>
        <w:t xml:space="preserve">: inconsistent naming/units across labs and medications require a standardization/mapping layer (e.g., to LOINC/RxNorm).</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Generalizability: </w:t>
      </w:r>
      <w:r w:rsidDel="00000000" w:rsidR="00000000" w:rsidRPr="00000000">
        <w:rPr>
          <w:rFonts w:ascii="Times New Roman" w:cs="Times New Roman" w:eastAsia="Times New Roman" w:hAnsi="Times New Roman"/>
          <w:sz w:val="24"/>
          <w:szCs w:val="24"/>
          <w:rtl w:val="0"/>
        </w:rPr>
        <w:t xml:space="preserve">case mix, staffing, and EHR systems differ across sites, so validate externally and monitor for performance drift.</w:t>
      </w:r>
    </w:p>
    <w:p w:rsidR="00000000" w:rsidDel="00000000" w:rsidP="00000000" w:rsidRDefault="00000000" w:rsidRPr="00000000" w14:paraId="00000057">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Privacy/governance:</w:t>
      </w:r>
      <w:r w:rsidDel="00000000" w:rsidR="00000000" w:rsidRPr="00000000">
        <w:rPr>
          <w:rFonts w:ascii="Times New Roman" w:cs="Times New Roman" w:eastAsia="Times New Roman" w:hAnsi="Times New Roman"/>
          <w:sz w:val="24"/>
          <w:szCs w:val="24"/>
          <w:rtl w:val="0"/>
        </w:rPr>
        <w:t xml:space="preserve"> patient-level data requires de-identification, access control, and IRB oversight throughout.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