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Arial" w:hAnsi="Arial" w:eastAsia="Arial"/>
          <w:b/>
          <w:i w:val="0"/>
          <w:color w:val="1F4E79"/>
          <w:sz w:val="44"/>
        </w:rPr>
        <w:t>ТЕХНИЧЕСКОЕ ЗАДАНИЕ</w:t>
      </w:r>
    </w:p>
    <w:p>
      <w:pPr>
        <w:spacing w:after="280"/>
      </w:pPr>
      <w:r>
        <w:rPr>
          <w:rFonts w:ascii="Arial" w:hAnsi="Arial" w:eastAsia="Arial"/>
          <w:b/>
          <w:i w:val="0"/>
          <w:sz w:val="30"/>
        </w:rPr>
        <w:t>Модуль SQL-записи проекта RecorderLnx</w:t>
      </w:r>
    </w:p>
    <w:p>
      <w:pPr>
        <w:spacing w:after="40"/>
      </w:pPr>
      <w:r>
        <w:rPr>
          <w:rFonts w:ascii="Arial" w:hAnsi="Arial" w:eastAsia="Arial"/>
          <w:b/>
          <w:i w:val="0"/>
          <w:color w:val="5F6973"/>
          <w:sz w:val="20"/>
        </w:rPr>
        <w:t xml:space="preserve">Статус: </w:t>
      </w:r>
      <w:r>
        <w:rPr>
          <w:rFonts w:ascii="Arial" w:hAnsi="Arial" w:eastAsia="Arial"/>
          <w:b w:val="0"/>
          <w:i w:val="0"/>
          <w:sz w:val="20"/>
        </w:rPr>
        <w:t>Концепция / требования для согласования</w:t>
      </w:r>
    </w:p>
    <w:p>
      <w:pPr>
        <w:spacing w:after="40"/>
      </w:pPr>
      <w:r>
        <w:rPr>
          <w:rFonts w:ascii="Arial" w:hAnsi="Arial" w:eastAsia="Arial"/>
          <w:b/>
          <w:i w:val="0"/>
          <w:color w:val="5F6973"/>
          <w:sz w:val="20"/>
        </w:rPr>
        <w:t xml:space="preserve">Версия: </w:t>
      </w:r>
      <w:r>
        <w:rPr>
          <w:rFonts w:ascii="Arial" w:hAnsi="Arial" w:eastAsia="Arial"/>
          <w:b w:val="0"/>
          <w:i w:val="0"/>
          <w:sz w:val="20"/>
        </w:rPr>
        <w:t>0.1</w:t>
      </w:r>
    </w:p>
    <w:p>
      <w:pPr>
        <w:spacing w:after="40"/>
      </w:pPr>
      <w:r>
        <w:rPr>
          <w:rFonts w:ascii="Arial" w:hAnsi="Arial" w:eastAsia="Arial"/>
          <w:b/>
          <w:i w:val="0"/>
          <w:color w:val="5F6973"/>
          <w:sz w:val="20"/>
        </w:rPr>
        <w:t xml:space="preserve">Дата: </w:t>
      </w:r>
      <w:r>
        <w:rPr>
          <w:rFonts w:ascii="Arial" w:hAnsi="Arial" w:eastAsia="Arial"/>
          <w:b w:val="0"/>
          <w:i w:val="0"/>
          <w:sz w:val="20"/>
        </w:rPr>
        <w:t>31.07.2026</w:t>
      </w:r>
    </w:p>
    <w:p>
      <w:pPr>
        <w:spacing w:after="40"/>
      </w:pPr>
      <w:r>
        <w:rPr>
          <w:rFonts w:ascii="Arial" w:hAnsi="Arial" w:eastAsia="Arial"/>
          <w:b/>
          <w:i w:val="0"/>
          <w:color w:val="5F6973"/>
          <w:sz w:val="20"/>
        </w:rPr>
        <w:t xml:space="preserve">Очередь: </w:t>
      </w:r>
      <w:r>
        <w:rPr>
          <w:rFonts w:ascii="Arial" w:hAnsi="Arial" w:eastAsia="Arial"/>
          <w:b w:val="0"/>
          <w:i w:val="0"/>
          <w:sz w:val="20"/>
        </w:rPr>
        <w:t>Настройка и runtime-запись</w:t>
      </w:r>
    </w:p>
    <w:p>
      <w:pPr>
        <w:spacing w:after="240"/>
        <w:pBdr>
          <w:bottom w:val="single" w:sz="14" w:space="1" w:color="1F4E79"/>
        </w:pBdr>
      </w:pPr>
    </w:p>
    <w:p>
      <w:pPr>
        <w:pStyle w:val="Heading1"/>
      </w:pPr>
      <w:r>
        <w:t>1. Назначение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Модуль SQL-записи предназначен для долговременного хранения данных мониторинга: структуры объектов, их свойств, измеряемых сигналов, периодических значений, событий и связанных файлов данных. Модуль входит в RecorderLnx, работает в Windows и Linux и не зависит на уровне предметной логики от конкретной СУБД.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Первая очередь включает настройку базы и runtime-запись. Просмотр, тренды, обработка файлов и экспорт не входят в первую очередь, но схема и интерфейсы должны обеспечить их последующую реализацию.</w:t>
      </w:r>
    </w:p>
    <w:p>
      <w:pPr>
        <w:pStyle w:val="Heading1"/>
      </w:pPr>
      <w:r>
        <w:t>2. Термины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Объект мониторинга</w:t>
      </w:r>
      <w:r>
        <w:rPr>
          <w:rFonts w:ascii="Arial" w:hAnsi="Arial" w:eastAsia="Arial"/>
          <w:b w:val="0"/>
          <w:i w:val="0"/>
          <w:sz w:val="21"/>
        </w:rPr>
        <w:t xml:space="preserve"> — изделие, агрегат, узел или иной наблюдаемый объект.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Свойство</w:t>
      </w:r>
      <w:r>
        <w:rPr>
          <w:rFonts w:ascii="Arial" w:hAnsi="Arial" w:eastAsia="Arial"/>
          <w:b w:val="0"/>
          <w:i w:val="0"/>
          <w:sz w:val="21"/>
        </w:rPr>
        <w:t xml:space="preserve"> — типизированная характеристика объекта (серийный номер, тип, место установки и т. п.).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Сигнал</w:t>
      </w:r>
      <w:r>
        <w:rPr>
          <w:rFonts w:ascii="Arial" w:hAnsi="Arial" w:eastAsia="Arial"/>
          <w:b w:val="0"/>
          <w:i w:val="0"/>
          <w:sz w:val="21"/>
        </w:rPr>
        <w:t xml:space="preserve"> — измеряемый или расчётный параметр, связанный с тегом RecorderLnx.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Регистрация</w:t>
      </w:r>
      <w:r>
        <w:rPr>
          <w:rFonts w:ascii="Arial" w:hAnsi="Arial" w:eastAsia="Arial"/>
          <w:b w:val="0"/>
          <w:i w:val="0"/>
          <w:sz w:val="21"/>
        </w:rPr>
        <w:t xml:space="preserve"> — непрерывный или логически единый интервал записи.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Испытание</w:t>
      </w:r>
      <w:r>
        <w:rPr>
          <w:rFonts w:ascii="Arial" w:hAnsi="Arial" w:eastAsia="Arial"/>
          <w:b w:val="0"/>
          <w:i w:val="0"/>
          <w:sz w:val="21"/>
        </w:rPr>
        <w:t xml:space="preserve"> — пользовательский контекст, объединяющий одну или несколько регистраций.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Медленная запись</w:t>
      </w:r>
      <w:r>
        <w:rPr>
          <w:rFonts w:ascii="Arial" w:hAnsi="Arial" w:eastAsia="Arial"/>
          <w:b w:val="0"/>
          <w:i w:val="0"/>
          <w:sz w:val="21"/>
        </w:rPr>
        <w:t xml:space="preserve"> — периодические скалярные значения сигналов.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Файл данных</w:t>
      </w:r>
      <w:r>
        <w:rPr>
          <w:rFonts w:ascii="Arial" w:hAnsi="Arial" w:eastAsia="Arial"/>
          <w:b w:val="0"/>
          <w:i w:val="0"/>
          <w:sz w:val="21"/>
        </w:rPr>
        <w:t xml:space="preserve"> — спектр, осциллограмма, орбита или иной массив/документ, хранимый вне основной таблицы значений.</w:t>
      </w:r>
    </w:p>
    <w:p>
      <w:pPr>
        <w:pStyle w:val="Heading1"/>
      </w:pPr>
      <w:r>
        <w:t>3. Границы первой очереди</w:t>
      </w:r>
    </w:p>
    <w:p>
      <w:pPr>
        <w:pStyle w:val="Heading3"/>
      </w:pPr>
      <w:r>
        <w:t>3.1. Входит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Выбор пользователем каталога локального хранилища.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Создание и автоматическая конфигурация базы через интерфейс серверного адаптера.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Создание/редактирование объектов, свойств, сигналов и привязок к тегам RecorderLnx.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Настройка периодической, ручной и условной записи.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Runtime-запись значений, событий и метаданных файлов.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Сохранение файлов данных, их чтение, связь с медленными значениями и подготовка к архивированию.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Работа с удалённой БД через защищённую сеть/Интернет.</w:t>
      </w:r>
    </w:p>
    <w:p>
      <w:pPr>
        <w:pStyle w:val="ListNumber"/>
        <w:numPr>
          <w:ilvl w:val="0"/>
          <w:numId w:val="10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Диагностика, восстановление соединения и управляемое поведение при ошибках.</w:t>
      </w:r>
    </w:p>
    <w:p>
      <w:pPr>
        <w:pStyle w:val="Heading3"/>
      </w:pPr>
      <w:r>
        <w:t>3.2. Не входит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построение трендов и таблиц по сохранённым данным;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отображение спектров, осциллограмм и орбит;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импорт старых баз и экспорт в Excel;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пользовательский конструктор схемы SQL;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окончательный выбор единственной СУБД.</w:t>
      </w:r>
    </w:p>
    <w:p>
      <w:pPr>
        <w:pStyle w:val="Heading1"/>
      </w:pPr>
      <w:r>
        <w:t>4. Основной сценарий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 создаёт или выбирает профиль SQL-хранилища.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Для локального варианта указывает каталог; для удалённого — адрес сервера, порт, имя базы и параметры защищённого соединения.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Модуль проверяет доступность, права, свободное место и совместимость схемы.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Если база отсутствует, серверный адаптер создаёт файлы/базу, таблицы, индексы и служебную запись версии схемы.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 создаёт объект мониторинга и задаёт его свойства.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 создаёт список сигналов и привязывает каждый сигнал к тегу/расчётному каналу RecorderLnx.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 задаёт политику записи: период, агрегацию, ручное управление, триггеры и условия.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При старте регистрации создаётся контекст регистрации; значения и события поступают в очередь записи.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Файлы данных сохраняются атомарно, после чего их метаданные и связи фиксируются транзакцией в SQL.</w:t>
      </w:r>
    </w:p>
    <w:p>
      <w:pPr>
        <w:pStyle w:val="ListNumber"/>
        <w:numPr>
          <w:ilvl w:val="0"/>
          <w:numId w:val="11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При остановке регистрации очередь сбрасывается, результаты фиксируются, статус регистрации закрывается.</w:t>
      </w:r>
    </w:p>
    <w:p>
      <w:pPr>
        <w:pStyle w:val="Heading1"/>
      </w:pPr>
      <w:r>
        <w:t>5. Архитектура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Модуль должен состоять из следующих уровней: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предметная модель</w:t>
      </w:r>
      <w:r>
        <w:rPr>
          <w:rFonts w:ascii="Arial" w:hAnsi="Arial" w:eastAsia="Arial"/>
          <w:b w:val="0"/>
          <w:i w:val="0"/>
          <w:sz w:val="21"/>
        </w:rPr>
        <w:t xml:space="preserve"> — объекты, свойства, сигналы, испытания, регистрации и политики записи;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runtime-координатор</w:t>
      </w:r>
      <w:r>
        <w:rPr>
          <w:rFonts w:ascii="Arial" w:hAnsi="Arial" w:eastAsia="Arial"/>
          <w:b w:val="0"/>
          <w:i w:val="0"/>
          <w:sz w:val="21"/>
        </w:rPr>
        <w:t xml:space="preserve"> — принимает явные снимки данных от реестра тегов и событий, применяет расписание/условия;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буфер и writer-поток</w:t>
      </w:r>
      <w:r>
        <w:rPr>
          <w:rFonts w:ascii="Arial" w:hAnsi="Arial" w:eastAsia="Arial"/>
          <w:b w:val="0"/>
          <w:i w:val="0"/>
          <w:sz w:val="21"/>
        </w:rPr>
        <w:t xml:space="preserve"> — пакетирует операции и выполняет ввод-вывод вне GUI-потока;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интерфейс SQL-сервера</w:t>
      </w:r>
      <w:r>
        <w:rPr>
          <w:rFonts w:ascii="Arial" w:hAnsi="Arial" w:eastAsia="Arial"/>
          <w:b w:val="0"/>
          <w:i w:val="0"/>
          <w:sz w:val="21"/>
        </w:rPr>
        <w:t xml:space="preserve"> — создание, миграция, транзакции, подготовленные запросы, health check;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файловое хранилище</w:t>
      </w:r>
      <w:r>
        <w:rPr>
          <w:rFonts w:ascii="Arial" w:hAnsi="Arial" w:eastAsia="Arial"/>
          <w:b w:val="0"/>
          <w:i w:val="0"/>
          <w:sz w:val="21"/>
        </w:rPr>
        <w:t xml:space="preserve"> — атомарная запись, чтение, контроль целостности и архивирование;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/>
          <w:i w:val="0"/>
          <w:sz w:val="21"/>
        </w:rPr>
        <w:t>UI настройки</w:t>
      </w:r>
      <w:r>
        <w:rPr>
          <w:rFonts w:ascii="Arial" w:hAnsi="Arial" w:eastAsia="Arial"/>
          <w:b w:val="0"/>
          <w:i w:val="0"/>
          <w:sz w:val="21"/>
        </w:rPr>
        <w:t xml:space="preserve"> — профили подключения, объекты, свойства, сигналы, привязки и политики записи.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Предметная модель и runtime не должны зависеть от LCL и конкретной библиотеки БД. Жизненный цикл записи и доставка входов выполняются явными вызовами; EventBus допускается для уведомлений и динамических наблюдателей, но не как единственный канал критичных данных записи.</w:t>
      </w:r>
    </w:p>
    <w:p>
      <w:pPr>
        <w:pStyle w:val="Heading1"/>
      </w:pPr>
      <w:r>
        <w:t>6. Требования к созданию и версии базы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Схема таблиц, полей, ограничений и индексов задаётся кодом модуля и имеет номер версии.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Пользователь не редактирует физическую схему.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Операция </w:t>
      </w:r>
      <w:r>
        <w:rPr>
          <w:rFonts w:ascii="Consolas" w:hAnsi="Consolas" w:eastAsia="Arial"/>
          <w:b w:val="0"/>
          <w:i w:val="0"/>
          <w:sz w:val="20"/>
        </w:rPr>
        <w:t>EnsureDatabase</w:t>
      </w:r>
      <w:r>
        <w:rPr>
          <w:rFonts w:ascii="Arial" w:hAnsi="Arial" w:eastAsia="Arial"/>
          <w:b w:val="0"/>
          <w:i w:val="0"/>
          <w:sz w:val="21"/>
        </w:rPr>
        <w:t xml:space="preserve"> должна быть идемпотентной: повторный вызов не повреждает существующую базу.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Создание и миграция выполняются транзакционно, насколько это поддерживает СУБД.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Более новая неизвестная версия схемы открывается только для диагностики/чтения либо отклоняется с понятным сообщением; автоматическое понижение запрещено.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Миграция не удаляет пользовательские данные без отдельной явно подтверждённой процедуры.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Локальный каталог содержит SQL-файлы/служебные файлы и подкаталог файлов данных. Конкретные имена задаёт адаптер.</w:t>
      </w:r>
    </w:p>
    <w:p>
      <w:pPr>
        <w:pStyle w:val="ListNumber"/>
        <w:numPr>
          <w:ilvl w:val="0"/>
          <w:numId w:val="12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Каталог должен поддерживать относительное перемещение целиком; абсолютные пути к файлам данных в SQL не сохраняются.</w:t>
      </w:r>
    </w:p>
    <w:p>
      <w:pPr>
        <w:pStyle w:val="Heading1"/>
      </w:pPr>
      <w:r>
        <w:t>7. Логическая модель данных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Обязательные сущности первой версии: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schema_info</w:t>
      </w:r>
      <w:r>
        <w:rPr>
          <w:rFonts w:ascii="Arial" w:hAnsi="Arial" w:eastAsia="Arial"/>
          <w:b w:val="0"/>
          <w:i w:val="0"/>
          <w:sz w:val="21"/>
        </w:rPr>
        <w:t xml:space="preserve"> — версия и история миграций;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objects</w:t>
      </w:r>
      <w:r>
        <w:rPr>
          <w:rFonts w:ascii="Arial" w:hAnsi="Arial" w:eastAsia="Arial"/>
          <w:b w:val="0"/>
          <w:i w:val="0"/>
          <w:sz w:val="21"/>
        </w:rPr>
        <w:t xml:space="preserve"> — объекты мониторинга;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property_definitions</w:t>
      </w:r>
      <w:r>
        <w:rPr>
          <w:rFonts w:ascii="Arial" w:hAnsi="Arial" w:eastAsia="Arial"/>
          <w:b w:val="0"/>
          <w:i w:val="0"/>
          <w:sz w:val="21"/>
        </w:rPr>
        <w:t xml:space="preserve"> — определения свойств;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object_property_values</w:t>
      </w:r>
      <w:r>
        <w:rPr>
          <w:rFonts w:ascii="Arial" w:hAnsi="Arial" w:eastAsia="Arial"/>
          <w:b w:val="0"/>
          <w:i w:val="0"/>
          <w:sz w:val="21"/>
        </w:rPr>
        <w:t xml:space="preserve"> — типизированные значения свойств;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signals</w:t>
      </w:r>
      <w:r>
        <w:rPr>
          <w:rFonts w:ascii="Arial" w:hAnsi="Arial" w:eastAsia="Arial"/>
          <w:b w:val="0"/>
          <w:i w:val="0"/>
          <w:sz w:val="21"/>
        </w:rPr>
        <w:t xml:space="preserve"> — древовидный справочник сигналов;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signal_bindings</w:t>
      </w:r>
      <w:r>
        <w:rPr>
          <w:rFonts w:ascii="Arial" w:hAnsi="Arial" w:eastAsia="Arial"/>
          <w:b w:val="0"/>
          <w:i w:val="0"/>
          <w:sz w:val="21"/>
        </w:rPr>
        <w:t xml:space="preserve"> — привязки сигналов к тегам/выходам алгоритмов RecorderLnx;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tests</w:t>
      </w:r>
      <w:r>
        <w:rPr>
          <w:rFonts w:ascii="Arial" w:hAnsi="Arial" w:eastAsia="Arial"/>
          <w:b w:val="0"/>
          <w:i w:val="0"/>
          <w:sz w:val="21"/>
        </w:rPr>
        <w:t xml:space="preserve"> — испытания;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registrations</w:t>
      </w:r>
      <w:r>
        <w:rPr>
          <w:rFonts w:ascii="Arial" w:hAnsi="Arial" w:eastAsia="Arial"/>
          <w:b w:val="0"/>
          <w:i w:val="0"/>
          <w:sz w:val="21"/>
        </w:rPr>
        <w:t xml:space="preserve"> — интервалы записи;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recording_policies</w:t>
      </w:r>
      <w:r>
        <w:rPr>
          <w:rFonts w:ascii="Arial" w:hAnsi="Arial" w:eastAsia="Arial"/>
          <w:b w:val="0"/>
          <w:i w:val="0"/>
          <w:sz w:val="21"/>
        </w:rPr>
        <w:t xml:space="preserve"> — период, режим, агрегация и условия;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signal_values</w:t>
      </w:r>
      <w:r>
        <w:rPr>
          <w:rFonts w:ascii="Arial" w:hAnsi="Arial" w:eastAsia="Arial"/>
          <w:b w:val="0"/>
          <w:i w:val="0"/>
          <w:sz w:val="21"/>
        </w:rPr>
        <w:t xml:space="preserve"> — временные скалярные значения;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events</w:t>
      </w:r>
      <w:r>
        <w:rPr>
          <w:rFonts w:ascii="Arial" w:hAnsi="Arial" w:eastAsia="Arial"/>
          <w:b w:val="0"/>
          <w:i w:val="0"/>
          <w:sz w:val="21"/>
        </w:rPr>
        <w:t xml:space="preserve"> — события и срабатывания уставок;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data_files</w:t>
      </w:r>
      <w:r>
        <w:rPr>
          <w:rFonts w:ascii="Arial" w:hAnsi="Arial" w:eastAsia="Arial"/>
          <w:b w:val="0"/>
          <w:i w:val="0"/>
          <w:sz w:val="21"/>
        </w:rPr>
        <w:t xml:space="preserve"> — метаданные файлов;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data_file_links</w:t>
      </w:r>
      <w:r>
        <w:rPr>
          <w:rFonts w:ascii="Arial" w:hAnsi="Arial" w:eastAsia="Arial"/>
          <w:b w:val="0"/>
          <w:i w:val="0"/>
          <w:sz w:val="21"/>
        </w:rPr>
        <w:t xml:space="preserve"> — связь файла с объектом, регистрацией, сигналом, событием и временным диапазоном.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Все основные идентификаторы должны быть устойчивыми и уникальными (UUID либо эквивалент), чтобы поддержать перенос/слияние. Временные метки хранятся в UTC с достаточной точностью; локальный часовой пояс используется только для отображения. Для значений должны храниться как минимум качество/валидность и, при необходимости, единица измерения либо ссылка на версию описания сигнала.</w:t>
      </w:r>
    </w:p>
    <w:p>
      <w:pPr>
        <w:pStyle w:val="Heading3"/>
      </w:pPr>
      <w:r>
        <w:t>7.1. Ориентировочные поля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7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18"/>
              </w:rPr>
              <w:t>Сущность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7F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sz w:val="18"/>
              </w:rPr>
              <w:t>Минимальные поля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objects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name, type, serial_number, parent_id, created_at, updated_at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property_definitions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name, value_type, unit, constraints_json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object_property_values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object_id, property_id, value_*, valid_from, valid_to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signals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object_id, parent_id, name, value_type, unit, enabled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signal_bindings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signal_id, recorder_tag_id/name, source_kind, transform_json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tests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object_id, name, started_at, finished_at, metadata_json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registrations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object_id, test_id, started_at, finished_at, status, reason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recording_policies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registration/object scope, mode, period_ms, aggregation, condition_json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signal_values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registration_id, signal_id, timestamp_utc, value, quality, sequence_no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registration_id, object_id, signal_id, timestamp_utc, type, severity, value, text, payload_json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data_files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id, storage_key, type, format, size, checksum, state, created_at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data_file_links</w:t>
            </w:r>
          </w:p>
        </w:tc>
        <w:tc>
          <w:tcPr>
            <w:tcW w:type="dxa" w:w="67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file_id, registration_id, signal_id, event_id, time_from_utc, time_to_utc, anchor_time_utc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Окончательные типы полей, нормализация свойств и стратегия партиционирования утверждаются на этапе проектирования схемы.</w:t>
      </w:r>
    </w:p>
    <w:p>
      <w:pPr>
        <w:pStyle w:val="Heading1"/>
      </w:pPr>
      <w:r>
        <w:t>8. Запись сигналов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Для каждого сигнала задаётся источник и политика записи.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Режимы: вручную, по состоянию регистрации, периодически, по изменению, по триггеру/условию и их допустимые комбинации.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Для периодической записи задаются период и функция агрегации: последнее, среднее, минимум, максимум, СКО или иной зарегистрированный алгоритм.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 одной временной точке значения разных сигналов могут записываться одной пакетной транзакцией, но потеря одного необязательного сигнала не должна блокировать остальные.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Повторная доставка определяется парой/набором </w:t>
      </w:r>
      <w:r>
        <w:rPr>
          <w:rFonts w:ascii="Consolas" w:hAnsi="Consolas" w:eastAsia="Arial"/>
          <w:b w:val="0"/>
          <w:i w:val="0"/>
          <w:sz w:val="20"/>
        </w:rPr>
        <w:t>registration_id + signal_id + timestamp/sequence</w:t>
      </w:r>
      <w:r>
        <w:rPr>
          <w:rFonts w:ascii="Arial" w:hAnsi="Arial" w:eastAsia="Arial"/>
          <w:b w:val="0"/>
          <w:i w:val="0"/>
          <w:sz w:val="21"/>
        </w:rPr>
        <w:t>; запись должна быть идемпотентной либо явно помечать дубликаты.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Runtime не выполняет синхронные SQL-запросы в потоке сбора данных и GUI-потоке.</w:t>
      </w:r>
    </w:p>
    <w:p>
      <w:pPr>
        <w:pStyle w:val="ListNumber"/>
        <w:numPr>
          <w:ilvl w:val="0"/>
          <w:numId w:val="13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Размер пакета и период сброса настраиваются с безопасными ограничениями.</w:t>
      </w:r>
    </w:p>
    <w:p>
      <w:pPr>
        <w:pStyle w:val="Heading1"/>
      </w:pPr>
      <w:r>
        <w:t>9. События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В БД сохраняются пользовательские, системные и диагностические события, включая срабатывание/снятие уставки, старт/стоп регистрации, потерю/восстановление источника и ошибки записи. Событие содержит время, тип, уровень, описание, значение/порог при наличии и связи с объектом, сигналом и регистрацией.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Критические события не должны теряться из-за фильтрации частых обновлений тегов. Порядок внутри одного источника сохраняется последовательным номером. Повторные одинаковые тревоги могут дедуплицироваться только по явно заданной политике.</w:t>
      </w:r>
    </w:p>
    <w:p>
      <w:pPr>
        <w:pStyle w:val="Heading1"/>
      </w:pPr>
      <w:r>
        <w:t>10. Файлы данных и связь с трендом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Содержимое крупных массивов разрешается хранить не в SQL, а в файловом хранилище.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SQL хранит метаданные, контрольную сумму, относительный ключ, состояние файла и связи с временной осью.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Рекомендуемая структура: </w:t>
      </w:r>
      <w:r>
        <w:rPr>
          <w:rFonts w:ascii="Consolas" w:hAnsi="Consolas" w:eastAsia="Arial"/>
          <w:b w:val="0"/>
          <w:i w:val="0"/>
          <w:sz w:val="20"/>
        </w:rPr>
        <w:t>&lt;storage&gt;/data/YYYY/MM/DD/&lt;object&gt;/&lt;registration&gt;/&lt;uuid&gt;.&lt;ext&gt;</w:t>
      </w:r>
      <w:r>
        <w:rPr>
          <w:rFonts w:ascii="Arial" w:hAnsi="Arial" w:eastAsia="Arial"/>
          <w:b w:val="0"/>
          <w:i w:val="0"/>
          <w:sz w:val="21"/>
        </w:rPr>
        <w:t>; физическая схема скрыта интерфейсом.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Запись выполняется во временный файл, затем проверяется размер/контрольная сумма и выполняется атомарное переименование; только после этого SQL-запись переводится в состояние </w:t>
      </w:r>
      <w:r>
        <w:rPr>
          <w:rFonts w:ascii="Consolas" w:hAnsi="Consolas" w:eastAsia="Arial"/>
          <w:b w:val="0"/>
          <w:i w:val="0"/>
          <w:sz w:val="20"/>
        </w:rPr>
        <w:t>ready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Не допускаются «готовые» SQL-ссылки на отсутствующий файл и файлы без восстанавливаемой индексной записи; для проверки предусматривается reconciler.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Файл связывается с </w:t>
      </w:r>
      <w:r>
        <w:rPr>
          <w:rFonts w:ascii="Consolas" w:hAnsi="Consolas" w:eastAsia="Arial"/>
          <w:b w:val="0"/>
          <w:i w:val="0"/>
          <w:sz w:val="20"/>
        </w:rPr>
        <w:t>anchor_time_utc</w:t>
      </w:r>
      <w:r>
        <w:rPr>
          <w:rFonts w:ascii="Arial" w:hAnsi="Arial" w:eastAsia="Arial"/>
          <w:b w:val="0"/>
          <w:i w:val="0"/>
          <w:sz w:val="21"/>
        </w:rPr>
        <w:t xml:space="preserve"> и/или диапазоном </w:t>
      </w:r>
      <w:r>
        <w:rPr>
          <w:rFonts w:ascii="Consolas" w:hAnsi="Consolas" w:eastAsia="Arial"/>
          <w:b w:val="0"/>
          <w:i w:val="0"/>
          <w:sz w:val="20"/>
        </w:rPr>
        <w:t>time_from_utc..time_to_utc</w:t>
      </w:r>
      <w:r>
        <w:rPr>
          <w:rFonts w:ascii="Arial" w:hAnsi="Arial" w:eastAsia="Arial"/>
          <w:b w:val="0"/>
          <w:i w:val="0"/>
          <w:sz w:val="21"/>
        </w:rPr>
        <w:t>, поэтому будущий тренд сможет показать маркер возле медленной точки.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Один файл может быть связан с несколькими сигналами, событием или временными точками.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Интерфейс чтения должен поддерживать получение списка вложений по интервалу, получение метаданных и потоковое чтение содержимого.</w:t>
      </w:r>
    </w:p>
    <w:p>
      <w:pPr>
        <w:pStyle w:val="ListNumber"/>
        <w:numPr>
          <w:ilvl w:val="0"/>
          <w:numId w:val="14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Архивирование переносит SQL-данные и файлы как согласованный комплект с манифестом и контрольными суммами.</w:t>
      </w:r>
    </w:p>
    <w:p>
      <w:pPr>
        <w:pStyle w:val="Heading1"/>
      </w:pPr>
      <w:r>
        <w:t>11. Локальная и удалённая работа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Локальный режим использует каталог пользователя и подходящую встраиваемую/локальную СУБД. Удалённый режим использует серверную СУБД; каталог на клиентской машине не трактуется как сетевой путь к файлам серверной БД.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Для работы через Интернет обязательны TLS, проверка сертификата, тайм-ауты, keepalive, повторное подключение с экспоненциальной задержкой и запрет хранения пароля в открытом виде. Предпочтителен доступ через VPN/защищённый контур или выделенный API/БД-шлюз. Прямое открытие порта СУБД в публичный Интернет не является целевой конфигурацией.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При временной недоступности удалённой БД runtime помещает операции в ограниченный локальный spool. После восстановления выполняется повторная отправка с идемпотентностью. Политика переполнения spool должна быть явной: остановить регистрацию, отбрасывать только некритичные данные или продолжить с аварийной сигнализацией.</w:t>
      </w:r>
    </w:p>
    <w:p>
      <w:pPr>
        <w:pStyle w:val="Heading1"/>
      </w:pPr>
      <w:r>
        <w:t>12. Интерфейс настройки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Диалоги должны обеспечивать: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создание, копирование, проверку и удаление профиля подключения;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выбор локального каталога либо настройку удалённого сервера;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отображение версии/состояния базы, результата проверки и свободного места;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управление объектами и их типизированными свойствами;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дерево сигналов и выбор источника из тегов/алгоритмов RecorderLnx;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групповую настройку периода, агрегации и условий записи;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ручные команды «Начать», «Остановить», «Проверить запись»;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состояние runtime: отключено, готово, запись, деградация/spool, ошибка;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журнал ошибок без показа секретов.</w:t>
      </w:r>
    </w:p>
    <w:p>
      <w:pPr>
        <w:pStyle w:val="Heading1"/>
      </w:pPr>
      <w:r>
        <w:t>13. Надёжность и производительность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Все операции выполняются подготовленными запросами и транзакциями.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Writer работает пакетно в отдельном потоке; в горячем пути используются заранее выделенные/переиспользуемые буферы.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Предусматриваются ограниченная очередь, backpressure и счётчики пропусков.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 xml:space="preserve">После аварийного завершения незакрытая регистрация обнаруживается и переводится в состояние </w:t>
      </w:r>
      <w:r>
        <w:rPr>
          <w:rFonts w:ascii="Consolas" w:hAnsi="Consolas" w:eastAsia="Arial"/>
          <w:b w:val="0"/>
          <w:i w:val="0"/>
          <w:sz w:val="20"/>
        </w:rPr>
        <w:t>interrupted</w:t>
      </w:r>
      <w:r>
        <w:rPr>
          <w:rFonts w:ascii="Arial" w:hAnsi="Arial" w:eastAsia="Arial"/>
          <w:b w:val="0"/>
          <w:i w:val="0"/>
          <w:sz w:val="21"/>
        </w:rPr>
        <w:t xml:space="preserve"> либо возобновляется по утверждённой политике.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Ошибка одного файла/пакета не должна повреждать уже зафиксированные данные.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Индексы обязательны для поиска по объекту, регистрации, сигналу и времени, а также для вложений по временному интервалу.</w:t>
      </w:r>
    </w:p>
    <w:p>
      <w:pPr>
        <w:pStyle w:val="ListBullet"/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Конкретные целевые скорости и объёмы определяются нагрузочным профилем до реализации.</w:t>
      </w:r>
    </w:p>
    <w:p>
      <w:pPr>
        <w:pStyle w:val="Heading1"/>
      </w:pPr>
      <w:r>
        <w:t>14. Безопасность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Секреты не сохраняются в проекте RecorderLnx и обычных INI/JSON в открытом виде.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Для удалённой БД применяются отдельные пользователи с минимальными правами.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Все пользовательские строки передаются параметрами запросов.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Каталожные ключи файлов нормализуются; выход за корень хранилища запрещён.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Удаление и миграции протоколируются; опасные операции требуют подтверждения.</w:t>
      </w:r>
    </w:p>
    <w:p>
      <w:pPr>
        <w:pStyle w:val="ListNumber"/>
        <w:numPr>
          <w:ilvl w:val="0"/>
          <w:numId w:val="15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 журналах исключаются пароли, токены и полные строки подключения.</w:t>
      </w:r>
    </w:p>
    <w:p>
      <w:pPr>
        <w:pStyle w:val="Heading1"/>
      </w:pPr>
      <w:r>
        <w:t>15. Интерфейсы модуля (концептуально)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IDatabaseServerAdapter</w:t>
      </w:r>
      <w:r>
        <w:rPr>
          <w:rFonts w:ascii="Arial" w:hAnsi="Arial" w:eastAsia="Arial"/>
          <w:b w:val="0"/>
          <w:i w:val="0"/>
          <w:sz w:val="21"/>
        </w:rPr>
        <w:t xml:space="preserve">: </w:t>
      </w:r>
      <w:r>
        <w:rPr>
          <w:rFonts w:ascii="Consolas" w:hAnsi="Consolas" w:eastAsia="Arial"/>
          <w:b w:val="0"/>
          <w:i w:val="0"/>
          <w:sz w:val="20"/>
        </w:rPr>
        <w:t>ValidateConfig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EnsureDatabase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GetSchemaVersion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Migrate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OpenSession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HealthCheck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IRecordingRepository</w:t>
      </w:r>
      <w:r>
        <w:rPr>
          <w:rFonts w:ascii="Arial" w:hAnsi="Arial" w:eastAsia="Arial"/>
          <w:b w:val="0"/>
          <w:i w:val="0"/>
          <w:sz w:val="21"/>
        </w:rPr>
        <w:t>: операции с объектами, сигналами, регистрациями, значениями, событиями и метаданными файлов.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IDataFileStore</w:t>
      </w:r>
      <w:r>
        <w:rPr>
          <w:rFonts w:ascii="Arial" w:hAnsi="Arial" w:eastAsia="Arial"/>
          <w:b w:val="0"/>
          <w:i w:val="0"/>
          <w:sz w:val="21"/>
        </w:rPr>
        <w:t xml:space="preserve">: </w:t>
      </w:r>
      <w:r>
        <w:rPr>
          <w:rFonts w:ascii="Consolas" w:hAnsi="Consolas" w:eastAsia="Arial"/>
          <w:b w:val="0"/>
          <w:i w:val="0"/>
          <w:sz w:val="20"/>
        </w:rPr>
        <w:t>PutAtomic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OpenRead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Verify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ListByInterval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Archive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pStyle w:val="ListBullet"/>
        <w:spacing w:after="60" w:line="276" w:lineRule="auto"/>
        <w:ind w:left="547" w:hanging="274"/>
      </w:pPr>
      <w:r>
        <w:rPr>
          <w:rFonts w:ascii="Consolas" w:hAnsi="Consolas" w:eastAsia="Arial"/>
          <w:b w:val="0"/>
          <w:i w:val="0"/>
          <w:sz w:val="20"/>
        </w:rPr>
        <w:t>IRecordingRuntime</w:t>
      </w:r>
      <w:r>
        <w:rPr>
          <w:rFonts w:ascii="Arial" w:hAnsi="Arial" w:eastAsia="Arial"/>
          <w:b w:val="0"/>
          <w:i w:val="0"/>
          <w:sz w:val="21"/>
        </w:rPr>
        <w:t xml:space="preserve">: </w:t>
      </w:r>
      <w:r>
        <w:rPr>
          <w:rFonts w:ascii="Consolas" w:hAnsi="Consolas" w:eastAsia="Arial"/>
          <w:b w:val="0"/>
          <w:i w:val="0"/>
          <w:sz w:val="20"/>
        </w:rPr>
        <w:t>Configure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Start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Stop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SubmitValues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SubmitEvent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SubmitFile</w:t>
      </w:r>
      <w:r>
        <w:rPr>
          <w:rFonts w:ascii="Arial" w:hAnsi="Arial" w:eastAsia="Arial"/>
          <w:b w:val="0"/>
          <w:i w:val="0"/>
          <w:sz w:val="21"/>
        </w:rPr>
        <w:t xml:space="preserve">, </w:t>
      </w:r>
      <w:r>
        <w:rPr>
          <w:rFonts w:ascii="Consolas" w:hAnsi="Consolas" w:eastAsia="Arial"/>
          <w:b w:val="0"/>
          <w:i w:val="0"/>
          <w:sz w:val="20"/>
        </w:rPr>
        <w:t>Flush</w:t>
      </w:r>
      <w:r>
        <w:rPr>
          <w:rFonts w:ascii="Arial" w:hAnsi="Arial" w:eastAsia="Arial"/>
          <w:b w:val="0"/>
          <w:i w:val="0"/>
          <w:sz w:val="21"/>
        </w:rPr>
        <w:t>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Интерфейсы должны позволять подменять адаптер и файловое хранилище в тестах.</w:t>
      </w:r>
    </w:p>
    <w:p>
      <w:pPr>
        <w:pStyle w:val="Heading1"/>
      </w:pPr>
      <w:r>
        <w:t>16. Проверка и приёмка первой очереди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В пустом выбранном каталоге создаётся рабочая база и структура файлов; повторное открытие ничего не повреждает.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Создаются объект, свойства и сигналы; после перезапуска связи с тегами восстановлены.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Ручная и периодическая запись создают регистрацию и корректные временные значения.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Срабатывание уставки сохраняется как событие с привязкой к сигналу и регистрации.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Спектр/осциллограмма записывается файлом, проходит контрольную сумму и находится запросом по интервалу тренда.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Искусственный обрыв удалённого соединения не блокирует сбор; данные попадают в spool и без дублей выгружаются после восстановления.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Аварийное завершение не оставляет готовых ссылок на отсутствующие файлы; незакрытая регистрация корректно диагностируется.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Сбор данных и GUI сохраняют отзывчивость при согласованной максимальной нагрузке.</w:t>
      </w:r>
    </w:p>
    <w:p>
      <w:pPr>
        <w:pStyle w:val="ListNumber"/>
        <w:numPr>
          <w:ilvl w:val="0"/>
          <w:numId w:val="16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База, созданная в Windows, переносима целиком там, где это допускает выбранный адаптер; core остаётся собираемым и в Windows, и в Linux.</w:t>
      </w:r>
    </w:p>
    <w:p>
      <w:pPr>
        <w:pStyle w:val="Heading1"/>
      </w:pPr>
      <w:r>
        <w:t>17. Вопросы, требующие отдельного решения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Целевая СУБД/набор адаптеров первой версии (например, локальная SQLite/Firebird и удалённая PostgreSQL/Firebird).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Ожидаемое число объектов, сигналов, частота медленной записи, размер файлов и срок хранения.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Нужно ли хранить историю изменения свойств и описаний сигналов.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Иерархия «объект — испытание — регистрация» и допустимость регистрации без испытания.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Формат условий/триггеров и состав агрегатов.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Политика spool при переполнении и предел допустимой потери некритичных данных.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Правила удаления, ретенции, архивирования и восстановления.</w:t>
      </w:r>
    </w:p>
    <w:p>
      <w:pPr>
        <w:pStyle w:val="ListNumber"/>
        <w:numPr>
          <w:ilvl w:val="0"/>
          <w:numId w:val="17"/>
        </w:numPr>
        <w:spacing w:after="60" w:line="276" w:lineRule="auto"/>
        <w:ind w:left="547" w:hanging="274"/>
      </w:pPr>
      <w:r>
        <w:rPr>
          <w:rFonts w:ascii="Arial" w:hAnsi="Arial" w:eastAsia="Arial"/>
          <w:b w:val="0"/>
          <w:i w:val="0"/>
          <w:sz w:val="21"/>
        </w:rPr>
        <w:t>Модель пользователей и разграничение прав.</w:t>
      </w:r>
    </w:p>
    <w:p>
      <w:r>
        <w:br w:type="page"/>
      </w:r>
    </w:p>
    <w:p>
      <w:pPr>
        <w:pStyle w:val="Heading1"/>
      </w:pPr>
      <w:r>
        <w:t>Приложение А. Исходные материалы пользователя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148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ntity-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148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5F6973"/>
          <w:sz w:val="18"/>
        </w:rPr>
        <w:t>Рисунок А.1 — исходная ориентировочная схема сущностей.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100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un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0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5F6973"/>
          <w:sz w:val="18"/>
        </w:rPr>
        <w:t>Рисунок А.2 — исходный перечень функций и способов передачи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07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ntity-descri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5F6973"/>
          <w:sz w:val="18"/>
        </w:rPr>
        <w:t>Рисунок А.3 — исходное описание сущностей.</w:t>
      </w:r>
    </w:p>
    <w:p>
      <w:pPr>
        <w:keepLines w:val="0"/>
      </w:pPr>
      <w:r>
        <w:rPr>
          <w:rFonts w:ascii="Arial" w:hAnsi="Arial" w:eastAsia="Arial"/>
          <w:b w:val="0"/>
          <w:i w:val="0"/>
          <w:sz w:val="21"/>
        </w:rPr>
        <w:t>Материалы приложения фиксируют исходную концепцию и не заменяют уточнённые нормативные требования основной части ТЗ.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F6973"/>
        <w:sz w:val="18"/>
      </w:rPr>
      <w:t xml:space="preserve">Страница </w:t>
    </w:r>
    <w:r>
      <w:rPr>
        <w:rFonts w:ascii="Arial" w:hAnsi="Arial" w:eastAsia="Arial"/>
        <w:b w:val="0"/>
        <w:i w:val="0"/>
        <w:color w:val="5F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 w:val="0"/>
        <w:i w:val="0"/>
        <w:color w:val="5F6973"/>
        <w:sz w:val="17"/>
      </w:rPr>
      <w:t>RecorderLnx  |  ТЗ модуля SQL-записи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модуль SQL-записи RecorderLnx</dc:title>
  <dc:subject>Настройка и runtime-запись данных мониторинга</dc:subject>
  <dc:creator>Проект RecorderLnx</dc:creator>
  <cp:keywords>RecorderLnx, SQL, база данных, запись, события, файлы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