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line="259"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2">
      <w:pPr>
        <w:widowControl w:val="1"/>
        <w:spacing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Data Collection and Preprocessing Phase</w:t>
      </w:r>
      <w:r w:rsidDel="00000000" w:rsidR="00000000" w:rsidRPr="00000000">
        <w:rPr>
          <w:rtl w:val="0"/>
        </w:rPr>
      </w:r>
    </w:p>
    <w:p w:rsidR="00000000" w:rsidDel="00000000" w:rsidP="00000000" w:rsidRDefault="00000000" w:rsidRPr="00000000" w14:paraId="00000003">
      <w:pPr>
        <w:widowControl w:val="1"/>
        <w:spacing w:after="160" w:line="259" w:lineRule="auto"/>
        <w:rPr>
          <w:rFonts w:ascii="Times New Roman" w:cs="Times New Roman" w:eastAsia="Times New Roman" w:hAnsi="Times New Roman"/>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4">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shd w:fill="auto" w:val="clear"/>
            <w:tcMar>
              <w:top w:w="100.0" w:type="dxa"/>
              <w:left w:w="100.0" w:type="dxa"/>
              <w:bottom w:w="100.0" w:type="dxa"/>
              <w:right w:w="100.0" w:type="dxa"/>
            </w:tcMar>
          </w:tcPr>
          <w:p w:rsidR="00000000" w:rsidDel="00000000" w:rsidP="00000000" w:rsidRDefault="00000000" w:rsidRPr="00000000" w14:paraId="00000005">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 July 2026</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6">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ID</w:t>
            </w:r>
          </w:p>
        </w:tc>
        <w:tc>
          <w:tcPr>
            <w:shd w:fill="auto" w:val="clear"/>
            <w:tcMar>
              <w:top w:w="100.0" w:type="dxa"/>
              <w:left w:w="100.0" w:type="dxa"/>
              <w:bottom w:w="100.0" w:type="dxa"/>
              <w:right w:w="100.0" w:type="dxa"/>
            </w:tcMar>
          </w:tcPr>
          <w:p w:rsidR="00000000" w:rsidDel="00000000" w:rsidP="00000000" w:rsidRDefault="00000000" w:rsidRPr="00000000" w14:paraId="00000007">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OBUVARSHINI 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8">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Title</w:t>
            </w:r>
          </w:p>
        </w:tc>
        <w:tc>
          <w:tcPr>
            <w:shd w:fill="auto" w:val="clear"/>
            <w:tcMar>
              <w:top w:w="100.0" w:type="dxa"/>
              <w:left w:w="100.0" w:type="dxa"/>
              <w:bottom w:w="100.0" w:type="dxa"/>
              <w:right w:w="100.0" w:type="dxa"/>
            </w:tcMar>
          </w:tcPr>
          <w:p w:rsidR="00000000" w:rsidDel="00000000" w:rsidP="00000000" w:rsidRDefault="00000000" w:rsidRPr="00000000" w14:paraId="00000009">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 AI EDUCATION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A">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Maximum Marks</w:t>
            </w:r>
          </w:p>
        </w:tc>
        <w:tc>
          <w:tcPr>
            <w:shd w:fill="auto" w:val="clear"/>
            <w:tcMar>
              <w:top w:w="100.0" w:type="dxa"/>
              <w:left w:w="100.0" w:type="dxa"/>
              <w:bottom w:w="100.0" w:type="dxa"/>
              <w:right w:w="100.0" w:type="dxa"/>
            </w:tcMar>
          </w:tcPr>
          <w:p w:rsidR="00000000" w:rsidDel="00000000" w:rsidP="00000000" w:rsidRDefault="00000000" w:rsidRPr="00000000" w14:paraId="0000000B">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Marks</w:t>
            </w:r>
          </w:p>
        </w:tc>
      </w:tr>
    </w:tbl>
    <w:p w:rsidR="00000000" w:rsidDel="00000000" w:rsidP="00000000" w:rsidRDefault="00000000" w:rsidRPr="00000000" w14:paraId="0000000C">
      <w:pPr>
        <w:widowControl w:val="1"/>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widowControl w:val="1"/>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Exploration and Preprocessing Template</w:t>
      </w:r>
    </w:p>
    <w:p w:rsidR="00000000" w:rsidDel="00000000" w:rsidP="00000000" w:rsidRDefault="00000000" w:rsidRPr="00000000" w14:paraId="0000000E">
      <w:pPr>
        <w:widowControl w:val="1"/>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Global AI Education dataset was explored to understand its structure, variables, and overall quality. The dataset contains information related to AI adoption in education, including countries, regions, student and teacher AI usage, educational institutions, and AI tools. During exploration, the number of records, column names, data types, missing values, and unique categories were examined. Basic statistical analysis and visual inspection were performed to identify trends, patterns, and potential data quality issues before preprocessing. </w:t>
      </w:r>
    </w:p>
    <w:p w:rsidR="00000000" w:rsidDel="00000000" w:rsidP="00000000" w:rsidRDefault="00000000" w:rsidRPr="00000000" w14:paraId="0000000F">
      <w:pPr>
        <w:widowControl w:val="1"/>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0">
      <w:pPr>
        <w:widowControl w:val="1"/>
        <w:spacing w:after="160" w:line="259" w:lineRule="auto"/>
        <w:rPr>
          <w:rFonts w:ascii="Times New Roman" w:cs="Times New Roman" w:eastAsia="Times New Roman" w:hAnsi="Times New Roman"/>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6510"/>
        <w:tblGridChange w:id="0">
          <w:tblGrid>
            <w:gridCol w:w="2850"/>
            <w:gridCol w:w="6510"/>
          </w:tblGrid>
        </w:tblGridChange>
      </w:tblGrid>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bottom"/>
          </w:tcPr>
          <w:p w:rsidR="00000000" w:rsidDel="00000000" w:rsidP="00000000" w:rsidRDefault="00000000" w:rsidRPr="00000000" w14:paraId="0000001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bottom"/>
          </w:tcPr>
          <w:p w:rsidR="00000000" w:rsidDel="00000000" w:rsidP="00000000" w:rsidRDefault="00000000" w:rsidRPr="00000000" w14:paraId="0000001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rHeight w:val="6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Overview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Global AI Education dataset contains information about AI adoption in education, including student usage, teacher usage, educational institutions, countries, regions, and AI tools used for learning. </w:t>
            </w:r>
          </w:p>
        </w:tc>
      </w:tr>
      <w:tr>
        <w:trPr>
          <w:cantSplit w:val="0"/>
          <w:trHeight w:val="6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Cleaning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Removed duplicate records, handled missing values, corrected inconsistent data entries, and ensured data accuracy for analysis. </w:t>
            </w:r>
          </w:p>
        </w:tc>
      </w:tr>
      <w:tr>
        <w:trPr>
          <w:cantSplit w:val="0"/>
          <w:trHeight w:val="6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Transformation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Organized the dataset into a structured format, standardized category names, and prepared the data for visualization and reporting. </w:t>
            </w:r>
          </w:p>
        </w:tc>
      </w:tr>
      <w:tr>
        <w:trPr>
          <w:cantSplit w:val="0"/>
          <w:trHeight w:val="6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Type Conversion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Converted numerical fields to appropriate numeric formats and date-related fields to date format for accurate analysis. </w:t>
            </w:r>
          </w:p>
        </w:tc>
      </w:tr>
      <w:tr>
        <w:trPr>
          <w:cantSplit w:val="0"/>
          <w:trHeight w:val="6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Column Splitting and Merging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Split combined location fields into country and region columns where necessary and merged related attributes to improve analysis. </w:t>
            </w:r>
          </w:p>
        </w:tc>
      </w:tr>
      <w:tr>
        <w:trPr>
          <w:cantSplit w:val="0"/>
          <w:trHeight w:val="6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Modeling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Established relationships between educational institutions, regions, AI usage metrics, and demographic factors to support dashboard creation. </w:t>
            </w:r>
          </w:p>
        </w:tc>
      </w:tr>
      <w:tr>
        <w:trPr>
          <w:cantSplit w:val="0"/>
          <w:trHeight w:val="6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 Processed 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Saved the cleaned and transformed dataset in CSV format for use in Tableau dashboards and visual analytics. </w:t>
            </w:r>
          </w:p>
        </w:tc>
      </w:tr>
    </w:tbl>
    <w:p w:rsidR="00000000" w:rsidDel="00000000" w:rsidP="00000000" w:rsidRDefault="00000000" w:rsidRPr="00000000" w14:paraId="00000021">
      <w:pPr>
        <w:widowControl w:val="1"/>
        <w:spacing w:after="160" w:line="259" w:lineRule="auto"/>
        <w:rPr>
          <w:rFonts w:ascii="Times New Roman" w:cs="Times New Roman" w:eastAsia="Times New Roman" w:hAnsi="Times New Roman"/>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jc w:val="both"/>
      <w:rPr/>
    </w:pPr>
    <w:r w:rsidDel="00000000" w:rsidR="00000000" w:rsidRPr="00000000">
      <w:rPr/>
      <w:drawing>
        <wp:anchor allowOverlap="1" behindDoc="0" distB="114300" distT="114300" distL="114300" distR="114300" hidden="0" layoutInCell="1" locked="0" relativeHeight="0" simplePos="0">
          <wp:simplePos x="0" y="0"/>
          <wp:positionH relativeFrom="page">
            <wp:posOffset>66675</wp:posOffset>
          </wp:positionH>
          <wp:positionV relativeFrom="page">
            <wp:posOffset>104775</wp:posOffset>
          </wp:positionV>
          <wp:extent cx="1681163" cy="653067"/>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81163" cy="653067"/>
                  </a:xfrm>
                  <a:prstGeom prst="rect"/>
                  <a:ln/>
                </pic:spPr>
              </pic:pic>
            </a:graphicData>
          </a:graphic>
        </wp:anchor>
      </w:drawing>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89" w:lineRule="auto"/>
      <w:ind w:left="4573" w:right="5380"/>
      <w:jc w:val="center"/>
    </w:pPr>
    <w:rPr>
      <w:b w:val="1"/>
      <w:bCs w:val="1"/>
      <w:sz w:val="32"/>
      <w:szCs w:val="32"/>
      <w:u w:val="single"/>
    </w:rPr>
  </w:style>
  <w:style w:type="paragraph" w:styleId="Heading2">
    <w:name w:val="heading 2"/>
    <w:basedOn w:val="Normal"/>
    <w:next w:val="Normal"/>
    <w:pPr>
      <w:ind w:left="1375"/>
    </w:pPr>
    <w:rPr>
      <w:b w:val="1"/>
      <w:bCs w:val="1"/>
      <w:sz w:val="24"/>
      <w:szCs w:val="24"/>
    </w:rPr>
  </w:style>
  <w:style w:type="paragraph" w:styleId="Heading3">
    <w:name w:val="heading 3"/>
    <w:basedOn w:val="Normal"/>
    <w:next w:val="Normal"/>
    <w:pPr>
      <w:ind w:left="1375"/>
    </w:pPr>
    <w:rPr>
      <w:b w:val="1"/>
      <w:bCs w:val="1"/>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