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OBUVARSHINI 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GLOBAL AI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440"/>
        <w:gridCol w:w="1500"/>
        <w:gridCol w:w="1785"/>
        <w:gridCol w:w="1110"/>
        <w:gridCol w:w="1650"/>
        <w:tblGridChange w:id="0">
          <w:tblGrid>
            <w:gridCol w:w="1320"/>
            <w:gridCol w:w="1440"/>
            <w:gridCol w:w="1500"/>
            <w:gridCol w:w="1785"/>
            <w:gridCol w:w="1110"/>
            <w:gridCol w:w="1650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1770.40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College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Manage academic workload while maintaining good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difficult to balance studies,assignments, exams and personal well being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4"/>
                      <w:szCs w:val="14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4"/>
                      <w:szCs w:val="14"/>
                      <w:rtl w:val="0"/>
                    </w:rPr>
                    <w:t xml:space="preserve">There is no single platform to track stress level,study progress and mental 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Overhelmed ,stressed and less productive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Student Counselor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students who require psychological support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It is difficult to understand the relationship between stress, depression, and academic performance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There is no single visual platform showing all important mental health indicators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Challenged in providing early and effective counseling support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-466723</wp:posOffset>
          </wp:positionH>
          <wp:positionV relativeFrom="paragraph">
            <wp:posOffset>-335277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