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INS-302 – Public Agency Implementation Guide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wouldn't be marketing. It would be a practical implementation manual covering: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the city must do.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INSITE does.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Annual calendar.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approvals.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County tax roll timeline.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responsibilities.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Sample resolutions.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Sample administration agreement.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FAQs for finance directors and city attorneys.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Finance Director can read INS-302 and conclude, </w:t>
      </w:r>
      <w:r w:rsidDel="00000000" w:rsidR="00000000" w:rsidRPr="00000000">
        <w:rPr>
          <w:i w:val="1"/>
          <w:iCs w:val="1"/>
          <w:rtl w:val="0"/>
        </w:rPr>
        <w:t xml:space="preserve">"This is manageable because INSITE handles the specialized work,"</w:t>
      </w:r>
      <w:r w:rsidDel="00000000" w:rsidR="00000000" w:rsidRPr="00000000">
        <w:rPr>
          <w:rtl w:val="0"/>
        </w:rPr>
        <w:t xml:space="preserve"> you've dramatically increased the likelihood that a city will participate. That's exactly the kind of confidence-building document that helps move a new program from concept to adoption.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