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drawing>
          <wp:inline distT="0" distB="0" distL="0" distR="0">
            <wp:extent cx="59055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790575"/>
                    </a:xfrm>
                    <a:prstGeom prst="rect">
                      <a:avLst/>
                    </a:prstGeom>
                  </pic:spPr>
                </pic:pic>
              </a:graphicData>
            </a:graphic>
          </wp:inline>
        </w:drawing>
      </w:r>
    </w:p>
    <w:p>
      <w:pPr>
        <w:spacing w:after="60" w:before="500"/>
      </w:pPr>
      <w:r>
        <w:rPr>
          <w:rFonts w:ascii="Calibri" w:cs="Calibri" w:eastAsia="Calibri" w:hAnsi="Calibri"/>
          <w:b/>
          <w:bCs/>
          <w:color w:val="3E7C59"/>
          <w:sz w:val="24"/>
          <w:szCs w:val="24"/>
        </w:rPr>
        <w:t xml:space="preserve">PUBLICATION INS-401</w:t>
      </w:r>
    </w:p>
    <w:p>
      <w:pPr>
        <w:spacing w:after="40"/>
      </w:pPr>
      <w:r>
        <w:rPr>
          <w:rFonts w:ascii="Calibri" w:cs="Calibri" w:eastAsia="Calibri" w:hAnsi="Calibri"/>
          <w:b/>
          <w:bCs/>
          <w:color w:val="153A5B"/>
          <w:sz w:val="52"/>
          <w:szCs w:val="52"/>
        </w:rPr>
        <w:t xml:space="preserve">TRANSACTION EXECUTION</w:t>
      </w:r>
    </w:p>
    <w:p>
      <w:pPr>
        <w:spacing w:after="160"/>
      </w:pPr>
      <w:r>
        <w:rPr>
          <w:rFonts w:ascii="Calibri" w:cs="Calibri" w:eastAsia="Calibri" w:hAnsi="Calibri"/>
          <w:b/>
          <w:bCs/>
          <w:color w:val="153A5B"/>
          <w:sz w:val="52"/>
          <w:szCs w:val="52"/>
        </w:rPr>
        <w:t xml:space="preserve">MANUAL</w:t>
      </w:r>
    </w:p>
    <w:p>
      <w:pPr>
        <w:pBdr>
          <w:bottom w:val="single" w:color="3E7C59" w:sz="18" w:space="8"/>
        </w:pBdr>
        <w:spacing w:after="420"/>
      </w:pPr>
      <w:r>
        <w:rPr>
          <w:rFonts w:ascii="Calibri" w:cs="Calibri" w:eastAsia="Calibri" w:hAnsi="Calibri"/>
          <w:color w:val="6B7280"/>
          <w:sz w:val="24"/>
          <w:szCs w:val="24"/>
        </w:rPr>
        <w:t xml:space="preserve">Annexation · Documentation · Recording · Closing &amp; Funding</w:t>
      </w:r>
    </w:p>
    <w:p>
      <w:pPr>
        <w:spacing w:after="140" w:line="276"/>
      </w:pPr>
      <w:r>
        <w:rPr>
          <w:rFonts w:ascii="Calibri" w:cs="Calibri" w:eastAsia="Calibri" w:hAnsi="Calibri"/>
          <w:color w:val="6B7280"/>
          <w:sz w:val="20"/>
          <w:szCs w:val="20"/>
        </w:rPr>
        <w:t xml:space="preserve">Prepared by</w:t>
      </w:r>
    </w:p>
    <w:p>
      <w:pPr>
        <w:spacing w:after="140" w:line="276"/>
      </w:pPr>
      <w:r>
        <w:rPr>
          <w:rFonts w:ascii="Calibri" w:cs="Calibri" w:eastAsia="Calibri" w:hAnsi="Calibri"/>
          <w:b/>
          <w:bCs/>
          <w:color w:val="153A5B"/>
          <w:sz w:val="24"/>
          <w:szCs w:val="24"/>
        </w:rPr>
        <w:t xml:space="preserve">HGF Management Company — Program Administrator</w:t>
      </w:r>
    </w:p>
    <w:p>
      <w:pPr>
        <w:spacing w:after="140" w:line="276"/>
      </w:pPr>
      <w:r>
        <w:rPr>
          <w:rFonts w:ascii="Calibri" w:cs="Calibri" w:eastAsia="Calibri" w:hAnsi="Calibri"/>
          <w:color w:val="222831"/>
          <w:sz w:val="20"/>
          <w:szCs w:val="20"/>
        </w:rPr>
        <w:t xml:space="preserve">INSITE™ Development Impact Fee Financing Program</w:t>
      </w:r>
    </w:p>
    <w:p>
      <w:pPr>
        <w:spacing w:after="120" w:before="340"/>
      </w:pPr>
      <w:r>
        <w:rPr>
          <w:rFonts w:ascii="Calibri" w:cs="Calibri" w:eastAsia="Calibri" w:hAnsi="Calibri"/>
          <w:b/>
          <w:bCs/>
          <w:color w:val="153A5B"/>
          <w:sz w:val="20"/>
          <w:szCs w:val="20"/>
        </w:rPr>
        <w:t xml:space="preserve">DOCUMENT CONTROL</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2600"/>
        <w:gridCol w:w="7160"/>
      </w:tblGrid>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Publication number</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INS-401</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Version</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1.0 (Draft)</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Status</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Draft for founder &amp; bond counsel review</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Publication date</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July 2026</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Owner</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INSITE Program Administration</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Classification</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Internal — Confidential</w:t>
            </w:r>
          </w:p>
        </w:tc>
      </w:tr>
    </w:tbl>
    <w:p>
      <w:pPr>
        <w:spacing w:before="300"/>
      </w:pPr>
      <w:r>
        <w:rPr>
          <w:rFonts w:ascii="Calibri" w:cs="Calibri" w:eastAsia="Calibri" w:hAnsi="Calibri"/>
          <w:i/>
          <w:iCs/>
          <w:color w:val="6B7280"/>
          <w:sz w:val="16"/>
          <w:szCs w:val="16"/>
        </w:rPr>
        <w:t xml:space="preserve">Pre-launch program document. INSITE is a proposed program of HGF Management Company. Nothing herein is an offer or commitment of financing, legal, tax, or investment advice, or a securities solicitation. Program structure, eligibility, pricing, and availability are subject to public issuer approval, bond counsel review, and market conditions.</w:t>
      </w:r>
    </w:p>
    <w:p>
      <w:r>
        <w:br w:type="page"/>
      </w:r>
    </w:p>
    <w:p>
      <w:pPr>
        <w:pStyle w:val="Heading1"/>
        <w:pBdr>
          <w:bottom w:val="single" w:color="3E7C59" w:sz="12" w:space="6"/>
        </w:pBdr>
        <w:spacing w:after="180" w:before="340"/>
      </w:pPr>
      <w:r>
        <w:rPr>
          <w:rFonts w:ascii="Calibri" w:cs="Calibri" w:eastAsia="Calibri" w:hAnsi="Calibri"/>
          <w:b/>
          <w:bCs/>
          <w:color w:val="153A5B"/>
          <w:sz w:val="30"/>
          <w:szCs w:val="30"/>
        </w:rPr>
        <w:t xml:space="preserve">SECTION 1 — PURPOSE &amp; PRECONDITIONS</w:t>
      </w:r>
    </w:p>
    <w:p>
      <w:pPr>
        <w:spacing w:after="140" w:line="276"/>
      </w:pPr>
      <w:r>
        <w:rPr>
          <w:rFonts w:ascii="Calibri" w:cs="Calibri" w:eastAsia="Calibri" w:hAnsi="Calibri"/>
          <w:color w:val="222831"/>
          <w:sz w:val="21"/>
          <w:szCs w:val="21"/>
        </w:rPr>
        <w:t xml:space="preserve">INS-401 governs Stages 6–7: turning an approved credit into a recorded lien and a funded transaction. It is written to be executed with bond counsel; every legal instrument named here is a counsel-controlled template, and this manual controls sequence, evidence, and quality gates — not legal sufficiency.</w:t>
      </w:r>
    </w:p>
    <w:p>
      <w:pPr>
        <w:pStyle w:val="Heading2"/>
        <w:spacing w:after="120" w:before="260"/>
      </w:pPr>
      <w:r>
        <w:rPr>
          <w:rFonts w:ascii="Calibri" w:cs="Calibri" w:eastAsia="Calibri" w:hAnsi="Calibri"/>
          <w:b/>
          <w:bCs/>
          <w:color w:val="153A5B"/>
          <w:sz w:val="24"/>
          <w:szCs w:val="24"/>
        </w:rPr>
        <w:t xml:space="preserve">1.1 Entry conditions (all required)</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520"/>
        <w:gridCol w:w="5200"/>
        <w:gridCol w:w="4040"/>
      </w:tblGrid>
      <w:tr>
        <w:trPr>
          <w:tblHeader/>
        </w:trPr>
        <w:tc>
          <w:tcPr>
            <w:tcW w:type="dxa" w:w="52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
            </w:r>
          </w:p>
        </w:tc>
        <w:tc>
          <w:tcPr>
            <w:tcW w:type="dxa" w:w="52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Required item</w:t>
            </w:r>
          </w:p>
        </w:tc>
        <w:tc>
          <w:tcPr>
            <w:tcW w:type="dxa" w:w="404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Notes / status</w:t>
            </w:r>
          </w:p>
        </w:tc>
      </w:tr>
      <w:tr>
        <w:tc>
          <w:tcPr>
            <w:tcW w:type="dxa" w:w="520"/>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Written underwriting approval memo (INS-301) with conditions listed and cleared or scheduled</w:t>
            </w:r>
          </w:p>
        </w:tc>
        <w:tc>
          <w:tcPr>
            <w:tcW w:type="dxa" w:w="404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shd w:fill="F5F7FA" w:val="clear"/>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Final INS-101-conforming appraisal on file; 4:1 program test computed and passing (3:1 statutory floor noted)</w:t>
            </w:r>
          </w:p>
        </w:tc>
        <w:tc>
          <w:tcPr>
            <w:tcW w:type="dxa" w:w="404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Issuer written confirmation that the specific fees/improvements are program-eligible</w:t>
            </w:r>
          </w:p>
        </w:tc>
        <w:tc>
          <w:tcPr>
            <w:tcW w:type="dxa" w:w="404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shd w:fill="F5F7FA" w:val="clear"/>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Preliminary title report current within issuer policy; all owners identified</w:t>
            </w:r>
          </w:p>
        </w:tc>
        <w:tc>
          <w:tcPr>
            <w:tcW w:type="dxa" w:w="404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Purchaser indication or commitment consistent with deal size and structure</w:t>
            </w:r>
          </w:p>
        </w:tc>
        <w:tc>
          <w:tcPr>
            <w:tcW w:type="dxa" w:w="404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shd w:fill="F5F7FA" w:val="clear"/>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Deal folder complete per INS-201 with developer certification</w:t>
            </w:r>
          </w:p>
        </w:tc>
        <w:tc>
          <w:tcPr>
            <w:tcW w:type="dxa" w:w="404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bl>
    <w:p>
      <w:pPr>
        <w:pStyle w:val="Heading1"/>
        <w:pBdr>
          <w:bottom w:val="single" w:color="3E7C59" w:sz="12" w:space="6"/>
        </w:pBdr>
        <w:spacing w:after="180" w:before="340"/>
      </w:pPr>
      <w:r>
        <w:rPr>
          <w:rFonts w:ascii="Calibri" w:cs="Calibri" w:eastAsia="Calibri" w:hAnsi="Calibri"/>
          <w:b/>
          <w:bCs/>
          <w:color w:val="153A5B"/>
          <w:sz w:val="30"/>
          <w:szCs w:val="30"/>
        </w:rPr>
        <w:t xml:space="preserve">SECTION 2 — THE ANNEXATION MODEL</w:t>
      </w:r>
    </w:p>
    <w:p>
      <w:pPr>
        <w:spacing w:after="140" w:line="276"/>
      </w:pPr>
      <w:r>
        <w:rPr>
          <w:rFonts w:ascii="Calibri" w:cs="Calibri" w:eastAsia="Calibri" w:hAnsi="Calibri"/>
          <w:color w:val="222831"/>
          <w:sz w:val="21"/>
          <w:szCs w:val="21"/>
        </w:rPr>
        <w:t xml:space="preserve">Each participating jurisdiction hosts one INSITE-administered CFD with a designated future annexation area. Individual projects join by annexation rather than by forming new districts — the structural choice that spreads formation cost across many transactions and makes small balances economical. Formation of the host CFD (a one-time event per issuer) follows the Mello-Roos Act process summarized in the California Debt Financing Guide: local goals and policies (including adopted appraisal standards), resolution of intention, hearing, landowner election where applicable, and recording of the notice of special tax lien.</w:t>
      </w:r>
    </w:p>
    <w:tbl>
      <w:tblPr>
        <w:tblW w:type="dxa" w:w="9760"/>
        <w:tblBorders>
          <w:top w:val="single" w:color="DDE5EC" w:sz="4"/>
          <w:left w:val="single" w:color="3E7C59" w:sz="28"/>
          <w:bottom w:val="single" w:color="DDE5EC" w:sz="4"/>
          <w:right w:val="single" w:color="DDE5EC" w:sz="4"/>
          <w:insideH w:val="none"/>
          <w:insideV w:val="none"/>
        </w:tblBorders>
      </w:tblPr>
      <w:tblGrid>
        <w:gridCol w:w="9760"/>
      </w:tblGrid>
      <w:tr>
        <w:tc>
          <w:tcPr>
            <w:shd w:fill="F5F7FA" w:val="clear"/>
            <w:tcMar>
              <w:top w:type="dxa" w:w="120"/>
              <w:left w:type="dxa" w:w="160"/>
              <w:bottom w:type="dxa" w:w="120"/>
              <w:right w:type="dxa" w:w="160"/>
            </w:tcMar>
          </w:tcPr>
          <w:p>
            <w:pPr>
              <w:spacing w:after="60"/>
            </w:pPr>
            <w:r>
              <w:rPr>
                <w:rFonts w:ascii="Calibri" w:cs="Calibri" w:eastAsia="Calibri" w:hAnsi="Calibri"/>
                <w:b/>
                <w:bCs/>
                <w:color w:val="153A5B"/>
                <w:sz w:val="20"/>
                <w:szCs w:val="20"/>
              </w:rPr>
              <w:t xml:space="preserve">CONFIRM BEFORE RELIANCE</w:t>
            </w:r>
          </w:p>
          <w:p>
            <w:pPr>
              <w:spacing w:after="0" w:line="264"/>
            </w:pPr>
            <w:r>
              <w:rPr>
                <w:rFonts w:ascii="Calibri" w:cs="Calibri" w:eastAsia="Calibri" w:hAnsi="Calibri"/>
                <w:color w:val="222831"/>
                <w:sz w:val="20"/>
                <w:szCs w:val="20"/>
              </w:rPr>
              <w:t xml:space="preserve">Annexation mechanics — including unanimous-approval procedures for territory proposed for annexation, election waivers, and the form of the amended notice of special tax lien — are prescribed by the Act and implemented by bond counsel. This manual intentionally does not restate statutory steps; counsel’s closing memorandum for the first transaction becomes Appendix 401-A and controls thereafter. Confirm with counsel: annexation article procedures, recording requirements, and any county-recorder formatting rules.</w:t>
            </w:r>
          </w:p>
        </w:tc>
      </w:tr>
    </w:tbl>
    <w:p>
      <w:pPr>
        <w:pStyle w:val="Heading2"/>
        <w:spacing w:after="120" w:before="260"/>
      </w:pPr>
      <w:r>
        <w:rPr>
          <w:rFonts w:ascii="Calibri" w:cs="Calibri" w:eastAsia="Calibri" w:hAnsi="Calibri"/>
          <w:b/>
          <w:bCs/>
          <w:color w:val="153A5B"/>
          <w:sz w:val="24"/>
          <w:szCs w:val="24"/>
        </w:rPr>
        <w:t xml:space="preserve">2.1 Standard annexation document set (counsel-controlled)</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900"/>
        <w:gridCol w:w="4250"/>
        <w:gridCol w:w="2500"/>
        <w:gridCol w:w="2110"/>
      </w:tblGrid>
      <w:tr>
        <w:trPr>
          <w:tblHeader/>
        </w:trPr>
        <w:tc>
          <w:tcPr>
            <w:tcW w:type="dxa" w:w="9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Doc</w:t>
            </w:r>
          </w:p>
        </w:tc>
        <w:tc>
          <w:tcPr>
            <w:tcW w:type="dxa" w:w="425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Instrument</w:t>
            </w:r>
          </w:p>
        </w:tc>
        <w:tc>
          <w:tcPr>
            <w:tcW w:type="dxa" w:w="25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Signer(s)</w:t>
            </w:r>
          </w:p>
        </w:tc>
        <w:tc>
          <w:tcPr>
            <w:tcW w:type="dxa" w:w="211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Filed / recorded</w:t>
            </w:r>
          </w:p>
        </w:tc>
      </w:tr>
      <w:tr>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401.D1</w:t>
            </w:r>
          </w:p>
        </w:tc>
        <w:tc>
          <w:tcPr>
            <w:tcW w:type="dxa" w:w="42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Petition / consent and waiver of owner(s) of territory to be annexed</w:t>
            </w:r>
          </w:p>
        </w:tc>
        <w:tc>
          <w:tcPr>
            <w:tcW w:type="dxa" w:w="25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All record owners</w:t>
            </w:r>
          </w:p>
        </w:tc>
        <w:tc>
          <w:tcPr>
            <w:tcW w:type="dxa" w:w="211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Issuer file</w:t>
            </w:r>
          </w:p>
        </w:tc>
      </w:tr>
      <w:tr>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401.D2</w:t>
            </w:r>
          </w:p>
        </w:tc>
        <w:tc>
          <w:tcPr>
            <w:tcW w:type="dxa" w:w="42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Unanimous approval / landowner ballot materials (as applicable)</w:t>
            </w:r>
          </w:p>
        </w:tc>
        <w:tc>
          <w:tcPr>
            <w:tcW w:type="dxa" w:w="25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Owners; Issuer officer</w:t>
            </w:r>
          </w:p>
        </w:tc>
        <w:tc>
          <w:tcPr>
            <w:tcW w:type="dxa" w:w="211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Issuer file</w:t>
            </w:r>
          </w:p>
        </w:tc>
      </w:tr>
      <w:tr>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401.D3</w:t>
            </w:r>
          </w:p>
        </w:tc>
        <w:tc>
          <w:tcPr>
            <w:tcW w:type="dxa" w:w="42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Rate and Method of Apportionment exhibit for the annexed territory</w:t>
            </w:r>
          </w:p>
        </w:tc>
        <w:tc>
          <w:tcPr>
            <w:tcW w:type="dxa" w:w="25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RMA consultant certification</w:t>
            </w:r>
          </w:p>
        </w:tc>
        <w:tc>
          <w:tcPr>
            <w:tcW w:type="dxa" w:w="211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Attached to D2/D4</w:t>
            </w:r>
          </w:p>
        </w:tc>
      </w:tr>
      <w:tr>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401.D4</w:t>
            </w:r>
          </w:p>
        </w:tc>
        <w:tc>
          <w:tcPr>
            <w:tcW w:type="dxa" w:w="42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Amendment to Notice of Special Tax Lien</w:t>
            </w:r>
          </w:p>
        </w:tc>
        <w:tc>
          <w:tcPr>
            <w:tcW w:type="dxa" w:w="25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Issuer officer</w:t>
            </w:r>
          </w:p>
        </w:tc>
        <w:tc>
          <w:tcPr>
            <w:tcW w:type="dxa" w:w="211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County Recorder</w:t>
            </w:r>
          </w:p>
        </w:tc>
      </w:tr>
      <w:tr>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401.D5</w:t>
            </w:r>
          </w:p>
        </w:tc>
        <w:tc>
          <w:tcPr>
            <w:tcW w:type="dxa" w:w="42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Financing / acquisition &amp; fee-payment agreement (developer · issuer · administrator)</w:t>
            </w:r>
          </w:p>
        </w:tc>
        <w:tc>
          <w:tcPr>
            <w:tcW w:type="dxa" w:w="25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All parties</w:t>
            </w:r>
          </w:p>
        </w:tc>
        <w:tc>
          <w:tcPr>
            <w:tcW w:type="dxa" w:w="211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Deal file</w:t>
            </w:r>
          </w:p>
        </w:tc>
      </w:tr>
      <w:tr>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401.D6</w:t>
            </w:r>
          </w:p>
        </w:tc>
        <w:tc>
          <w:tcPr>
            <w:tcW w:type="dxa" w:w="42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Note purchase agreement &amp; note (private placement)</w:t>
            </w:r>
          </w:p>
        </w:tc>
        <w:tc>
          <w:tcPr>
            <w:tcW w:type="dxa" w:w="25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Issuer; Purchaser</w:t>
            </w:r>
          </w:p>
        </w:tc>
        <w:tc>
          <w:tcPr>
            <w:tcW w:type="dxa" w:w="211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Deal file</w:t>
            </w:r>
          </w:p>
        </w:tc>
      </w:tr>
      <w:tr>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401.D7</w:t>
            </w:r>
          </w:p>
        </w:tc>
        <w:tc>
          <w:tcPr>
            <w:tcW w:type="dxa" w:w="42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Closing certificate &amp; instruction letter; counsel opinion</w:t>
            </w:r>
          </w:p>
        </w:tc>
        <w:tc>
          <w:tcPr>
            <w:tcW w:type="dxa" w:w="25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Counsel; parties</w:t>
            </w:r>
          </w:p>
        </w:tc>
        <w:tc>
          <w:tcPr>
            <w:tcW w:type="dxa" w:w="211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Deal file</w:t>
            </w:r>
          </w:p>
        </w:tc>
      </w:tr>
    </w:tbl>
    <w:p>
      <w:pPr>
        <w:pStyle w:val="Heading1"/>
        <w:pBdr>
          <w:bottom w:val="single" w:color="3E7C59" w:sz="12" w:space="6"/>
        </w:pBdr>
        <w:spacing w:after="180" w:before="340"/>
      </w:pPr>
      <w:r>
        <w:rPr>
          <w:rFonts w:ascii="Calibri" w:cs="Calibri" w:eastAsia="Calibri" w:hAnsi="Calibri"/>
          <w:b/>
          <w:bCs/>
          <w:color w:val="153A5B"/>
          <w:sz w:val="30"/>
          <w:szCs w:val="30"/>
        </w:rPr>
        <w:t xml:space="preserve">SECTION 3 — EXECUTION WORKFLOW (STAGE 6)</w:t>
      </w:r>
    </w:p>
    <w:p>
      <w:pPr>
        <w:pStyle w:val="ListParagraph"/>
        <w:numPr>
          <w:ilvl w:val="0"/>
          <w:numId w:val="2"/>
        </w:numPr>
        <w:spacing w:after="90" w:line="264"/>
      </w:pPr>
      <w:r>
        <w:rPr>
          <w:rFonts w:ascii="Calibri" w:cs="Calibri" w:eastAsia="Calibri" w:hAnsi="Calibri"/>
          <w:color w:val="222831"/>
          <w:sz w:val="21"/>
          <w:szCs w:val="21"/>
        </w:rPr>
        <w:t xml:space="preserve">Kickoff: Operations Lead opens the closing checklist (INS-401.01), circulates the working-group list (developer, counsel, RMA consultant, issuer contact, purchaser, title), and sets the target closing date.</w:t>
      </w:r>
    </w:p>
    <w:p>
      <w:pPr>
        <w:pStyle w:val="ListParagraph"/>
        <w:numPr>
          <w:ilvl w:val="0"/>
          <w:numId w:val="2"/>
        </w:numPr>
        <w:spacing w:after="90" w:line="264"/>
      </w:pPr>
      <w:r>
        <w:rPr>
          <w:rFonts w:ascii="Calibri" w:cs="Calibri" w:eastAsia="Calibri" w:hAnsi="Calibri"/>
          <w:color w:val="222831"/>
          <w:sz w:val="21"/>
          <w:szCs w:val="21"/>
        </w:rPr>
        <w:t xml:space="preserve">Data lock: APN list, legal description, owner vesting, and fee amounts frozen against the title report and agency fee confirmation; any change re-opens underwriting review of the 4:1 test.</w:t>
      </w:r>
    </w:p>
    <w:p>
      <w:pPr>
        <w:pStyle w:val="ListParagraph"/>
        <w:numPr>
          <w:ilvl w:val="0"/>
          <w:numId w:val="2"/>
        </w:numPr>
        <w:spacing w:after="90" w:line="264"/>
      </w:pPr>
      <w:r>
        <w:rPr>
          <w:rFonts w:ascii="Calibri" w:cs="Calibri" w:eastAsia="Calibri" w:hAnsi="Calibri"/>
          <w:color w:val="222831"/>
          <w:sz w:val="21"/>
          <w:szCs w:val="21"/>
        </w:rPr>
        <w:t xml:space="preserve">RMA exhibit: consultant produces the annexation tax exhibit; Operations verifies lot count, land-use classes, and maximum tax against the sizing worksheet (maker/checker).</w:t>
      </w:r>
    </w:p>
    <w:p>
      <w:pPr>
        <w:pStyle w:val="ListParagraph"/>
        <w:numPr>
          <w:ilvl w:val="0"/>
          <w:numId w:val="2"/>
        </w:numPr>
        <w:spacing w:after="90" w:line="264"/>
      </w:pPr>
      <w:r>
        <w:rPr>
          <w:rFonts w:ascii="Calibri" w:cs="Calibri" w:eastAsia="Calibri" w:hAnsi="Calibri"/>
          <w:color w:val="222831"/>
          <w:sz w:val="21"/>
          <w:szCs w:val="21"/>
        </w:rPr>
        <w:t xml:space="preserve">Document assembly: bracketed fields only; no template edits without counsel email approval saved to file.</w:t>
      </w:r>
    </w:p>
    <w:p>
      <w:pPr>
        <w:pStyle w:val="ListParagraph"/>
        <w:numPr>
          <w:ilvl w:val="0"/>
          <w:numId w:val="2"/>
        </w:numPr>
        <w:spacing w:after="90" w:line="264"/>
      </w:pPr>
      <w:r>
        <w:rPr>
          <w:rFonts w:ascii="Calibri" w:cs="Calibri" w:eastAsia="Calibri" w:hAnsi="Calibri"/>
          <w:color w:val="222831"/>
          <w:sz w:val="21"/>
          <w:szCs w:val="21"/>
        </w:rPr>
        <w:t xml:space="preserve">Signatures: owners’ consents notarized as required; issuer officer execution per its authorizing resolution.</w:t>
      </w:r>
    </w:p>
    <w:p>
      <w:pPr>
        <w:pStyle w:val="ListParagraph"/>
        <w:numPr>
          <w:ilvl w:val="0"/>
          <w:numId w:val="2"/>
        </w:numPr>
        <w:spacing w:after="90" w:line="264"/>
      </w:pPr>
      <w:r>
        <w:rPr>
          <w:rFonts w:ascii="Calibri" w:cs="Calibri" w:eastAsia="Calibri" w:hAnsi="Calibri"/>
          <w:color w:val="222831"/>
          <w:sz w:val="21"/>
          <w:szCs w:val="21"/>
        </w:rPr>
        <w:t xml:space="preserve">Recording: D4 amendment to notice of special tax lien recorded; conformed copy with recorder stamp saved to file. NO FUNDING BEFORE CONFIRMED RECORDING.</w:t>
      </w:r>
    </w:p>
    <w:p>
      <w:pPr>
        <w:pStyle w:val="ListParagraph"/>
        <w:numPr>
          <w:ilvl w:val="0"/>
          <w:numId w:val="2"/>
        </w:numPr>
        <w:spacing w:after="90" w:line="264"/>
      </w:pPr>
      <w:r>
        <w:rPr>
          <w:rFonts w:ascii="Calibri" w:cs="Calibri" w:eastAsia="Calibri" w:hAnsi="Calibri"/>
          <w:color w:val="222831"/>
          <w:sz w:val="21"/>
          <w:szCs w:val="21"/>
        </w:rPr>
        <w:t xml:space="preserve">Pre-closing call: checklist read-down with counsel and purchaser; conditions confirmed cleared.</w:t>
      </w:r>
    </w:p>
    <w:p>
      <w:pPr>
        <w:pStyle w:val="Heading1"/>
        <w:pBdr>
          <w:bottom w:val="single" w:color="3E7C59" w:sz="12" w:space="6"/>
        </w:pBdr>
        <w:spacing w:after="180" w:before="340"/>
      </w:pPr>
      <w:r>
        <w:rPr>
          <w:rFonts w:ascii="Calibri" w:cs="Calibri" w:eastAsia="Calibri" w:hAnsi="Calibri"/>
          <w:b/>
          <w:bCs/>
          <w:color w:val="153A5B"/>
          <w:sz w:val="30"/>
          <w:szCs w:val="30"/>
        </w:rPr>
        <w:t xml:space="preserve">SECTION 4 — CLOSING &amp; FUNDING (STAGE 7)</w:t>
      </w:r>
    </w:p>
    <w:p>
      <w:pPr>
        <w:pStyle w:val="Heading2"/>
        <w:spacing w:after="120" w:before="260"/>
      </w:pPr>
      <w:r>
        <w:rPr>
          <w:rFonts w:ascii="Calibri" w:cs="Calibri" w:eastAsia="Calibri" w:hAnsi="Calibri"/>
          <w:b/>
          <w:bCs/>
          <w:color w:val="153A5B"/>
          <w:sz w:val="24"/>
          <w:szCs w:val="24"/>
        </w:rPr>
        <w:t xml:space="preserve">4.1 Flow of funds</w:t>
      </w:r>
    </w:p>
    <w:p>
      <w:pPr>
        <w:spacing w:after="140" w:line="276"/>
      </w:pPr>
      <w:r>
        <w:rPr>
          <w:rFonts w:ascii="Calibri" w:cs="Calibri" w:eastAsia="Calibri" w:hAnsi="Calibri"/>
          <w:color w:val="222831"/>
          <w:sz w:val="21"/>
          <w:szCs w:val="21"/>
        </w:rPr>
        <w:t xml:space="preserve">Purchaser funds the note purchase price to the fiscal agent / designated account → costs of issuance paid per the closing memorandum → eligible fees paid directly to the agency on the developer’s behalf (or developer reimbursed per the issuer’s confirmed reimbursement procedure) → any reserve funded → remainder, if any, per the financing agreement. The developer never routes program funds through its own accounts except in a documented reimbursement structure.</w:t>
      </w:r>
    </w:p>
    <w:p>
      <w:pPr>
        <w:pStyle w:val="Heading2"/>
        <w:spacing w:after="120" w:before="260"/>
      </w:pPr>
      <w:r>
        <w:rPr>
          <w:rFonts w:ascii="Calibri" w:cs="Calibri" w:eastAsia="Calibri" w:hAnsi="Calibri"/>
          <w:b/>
          <w:bCs/>
          <w:color w:val="153A5B"/>
          <w:sz w:val="24"/>
          <w:szCs w:val="24"/>
        </w:rPr>
        <w:t xml:space="preserve">4.2 Closing checklist INS-401.01 (summary form)</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520"/>
        <w:gridCol w:w="5200"/>
        <w:gridCol w:w="4040"/>
      </w:tblGrid>
      <w:tr>
        <w:trPr>
          <w:tblHeader/>
        </w:trPr>
        <w:tc>
          <w:tcPr>
            <w:tcW w:type="dxa" w:w="52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
            </w:r>
          </w:p>
        </w:tc>
        <w:tc>
          <w:tcPr>
            <w:tcW w:type="dxa" w:w="52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Required item</w:t>
            </w:r>
          </w:p>
        </w:tc>
        <w:tc>
          <w:tcPr>
            <w:tcW w:type="dxa" w:w="404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Notes / status</w:t>
            </w:r>
          </w:p>
        </w:tc>
      </w:tr>
      <w:tr>
        <w:tc>
          <w:tcPr>
            <w:tcW w:type="dxa" w:w="520"/>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All D1–D7 executed; notarizations verified</w:t>
            </w:r>
          </w:p>
        </w:tc>
        <w:tc>
          <w:tcPr>
            <w:tcW w:type="dxa" w:w="404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shd w:fill="F5F7FA" w:val="clear"/>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D4 recorded — conformed copy in file (date, instrument number logged)</w:t>
            </w:r>
          </w:p>
        </w:tc>
        <w:tc>
          <w:tcPr>
            <w:tcW w:type="dxa" w:w="404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Title date-down: no new liens; taxes current</w:t>
            </w:r>
          </w:p>
        </w:tc>
        <w:tc>
          <w:tcPr>
            <w:tcW w:type="dxa" w:w="404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shd w:fill="F5F7FA" w:val="clear"/>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Agency payment instructions verified by call-back to a known number (wire-fraud control)</w:t>
            </w:r>
          </w:p>
        </w:tc>
        <w:tc>
          <w:tcPr>
            <w:tcW w:type="dxa" w:w="404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Purchaser funding confirmation received</w:t>
            </w:r>
          </w:p>
        </w:tc>
        <w:tc>
          <w:tcPr>
            <w:tcW w:type="dxa" w:w="404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shd w:fill="F5F7FA" w:val="clear"/>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Fees paid / reimbursement executed; agency receipt in file</w:t>
            </w:r>
          </w:p>
        </w:tc>
        <w:tc>
          <w:tcPr>
            <w:tcW w:type="dxa" w:w="404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Funding authorization signed by Principal</w:t>
            </w:r>
          </w:p>
        </w:tc>
        <w:tc>
          <w:tcPr>
            <w:tcW w:type="dxa" w:w="404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shd w:fill="F5F7FA" w:val="clear"/>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Levy-system record created: APNs, RMA class, principal, first levy year (maker/checker) — Gate 7→8</w:t>
            </w:r>
          </w:p>
        </w:tc>
        <w:tc>
          <w:tcPr>
            <w:tcW w:type="dxa" w:w="404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Welcome package sent to developer: recorded lien copy, tax expectations, prepayment rights, contacts</w:t>
            </w:r>
          </w:p>
        </w:tc>
        <w:tc>
          <w:tcPr>
            <w:tcW w:type="dxa" w:w="404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shd w:fill="F5F7FA" w:val="clear"/>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CDIAC / state reporting task opened with counsel (Gov. Code § 8855 — confirm applicability and timing)</w:t>
            </w:r>
          </w:p>
        </w:tc>
        <w:tc>
          <w:tcPr>
            <w:tcW w:type="dxa" w:w="404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bl>
    <w:p>
      <w:pPr>
        <w:pStyle w:val="Heading2"/>
        <w:spacing w:after="120" w:before="260"/>
      </w:pPr>
      <w:r>
        <w:rPr>
          <w:rFonts w:ascii="Calibri" w:cs="Calibri" w:eastAsia="Calibri" w:hAnsi="Calibri"/>
          <w:b/>
          <w:bCs/>
          <w:color w:val="153A5B"/>
          <w:sz w:val="24"/>
          <w:szCs w:val="24"/>
        </w:rPr>
        <w:t xml:space="preserve">4.3 Post-closing file</w:t>
      </w:r>
    </w:p>
    <w:p>
      <w:pPr>
        <w:pStyle w:val="ListParagraph"/>
        <w:numPr>
          <w:ilvl w:val="0"/>
          <w:numId w:val="3"/>
        </w:numPr>
        <w:spacing w:after="90" w:line="264"/>
      </w:pPr>
      <w:r>
        <w:rPr>
          <w:rFonts w:ascii="Calibri" w:cs="Calibri" w:eastAsia="Calibri" w:hAnsi="Calibri"/>
          <w:color w:val="222831"/>
          <w:sz w:val="21"/>
          <w:szCs w:val="21"/>
        </w:rPr>
        <w:t xml:space="preserve">Deal file indexed to the INS-201 folder structure plus a CLOSING folder holding D1–D7, recording confirmation, funding evidence, and the final sizing worksheet.</w:t>
      </w:r>
    </w:p>
    <w:p>
      <w:pPr>
        <w:pStyle w:val="ListParagraph"/>
        <w:numPr>
          <w:ilvl w:val="0"/>
          <w:numId w:val="3"/>
        </w:numPr>
        <w:spacing w:after="90" w:line="264"/>
      </w:pPr>
      <w:r>
        <w:rPr>
          <w:rFonts w:ascii="Calibri" w:cs="Calibri" w:eastAsia="Calibri" w:hAnsi="Calibri"/>
          <w:color w:val="222831"/>
          <w:sz w:val="21"/>
          <w:szCs w:val="21"/>
        </w:rPr>
        <w:t xml:space="preserve">Portfolio register updated same day; investor data room updated within 5 business days.</w:t>
      </w:r>
    </w:p>
    <w:p>
      <w:pPr>
        <w:pStyle w:val="ListParagraph"/>
        <w:numPr>
          <w:ilvl w:val="0"/>
          <w:numId w:val="3"/>
        </w:numPr>
        <w:spacing w:after="90" w:line="264"/>
      </w:pPr>
      <w:r>
        <w:rPr>
          <w:rFonts w:ascii="Calibri" w:cs="Calibri" w:eastAsia="Calibri" w:hAnsi="Calibri"/>
          <w:color w:val="222831"/>
          <w:sz w:val="21"/>
          <w:szCs w:val="21"/>
        </w:rPr>
        <w:t xml:space="preserve">Lessons-learned note (≤ 1 page) filed for any gate that required rework — feeds manual revisions.</w:t>
      </w:r>
    </w:p>
    <w:tbl>
      <w:tblPr>
        <w:tblW w:type="dxa" w:w="9760"/>
        <w:tblBorders>
          <w:top w:val="single" w:color="DDE5EC" w:sz="4"/>
          <w:left w:val="single" w:color="3E7C59" w:sz="28"/>
          <w:bottom w:val="single" w:color="DDE5EC" w:sz="4"/>
          <w:right w:val="single" w:color="DDE5EC" w:sz="4"/>
          <w:insideH w:val="none"/>
          <w:insideV w:val="none"/>
        </w:tblBorders>
      </w:tblPr>
      <w:tblGrid>
        <w:gridCol w:w="9760"/>
      </w:tblGrid>
      <w:tr>
        <w:tc>
          <w:tcPr>
            <w:shd w:fill="F5F7FA" w:val="clear"/>
            <w:tcMar>
              <w:top w:type="dxa" w:w="120"/>
              <w:left w:type="dxa" w:w="160"/>
              <w:bottom w:type="dxa" w:w="120"/>
              <w:right w:type="dxa" w:w="160"/>
            </w:tcMar>
          </w:tcPr>
          <w:p>
            <w:pPr>
              <w:spacing w:after="60"/>
            </w:pPr>
            <w:r>
              <w:rPr>
                <w:rFonts w:ascii="Calibri" w:cs="Calibri" w:eastAsia="Calibri" w:hAnsi="Calibri"/>
                <w:b/>
                <w:bCs/>
                <w:color w:val="153A5B"/>
                <w:sz w:val="20"/>
                <w:szCs w:val="20"/>
              </w:rPr>
              <w:t xml:space="preserve">Hard rule</w:t>
            </w:r>
          </w:p>
          <w:p>
            <w:pPr>
              <w:spacing w:after="0" w:line="264"/>
            </w:pPr>
            <w:r>
              <w:rPr>
                <w:rFonts w:ascii="Calibri" w:cs="Calibri" w:eastAsia="Calibri" w:hAnsi="Calibri"/>
                <w:color w:val="222831"/>
                <w:sz w:val="20"/>
                <w:szCs w:val="20"/>
              </w:rPr>
              <w:t xml:space="preserve">If any element of the debt stack, APN list, or fee amount changes after underwriting approval, Stage 6 pauses and the file returns to INS-301 for a delta review. Speed never overrides the 4:1 recomputation.</w:t>
            </w:r>
          </w:p>
        </w:tc>
      </w:tr>
    </w:tbl>
    <w:p>
      <w:r>
        <w:rPr>
          <w:i/>
          <w:color w:val="6B7280"/>
          <w:sz w:val="16"/>
        </w:rPr>
        <w:t>INSITE(TM) is a pre-launch program concept administered by HGF Management Company. This material is not an offer of financing, legal advice, or investment advice. Program structure, eligibility, costs, and pricing are subject to issuer approval, bond counsel review, and program underwriting. Figures identified as targets or estimates are the founder's working numbers, not commitments.</w:t>
      </w:r>
    </w:p>
    <w:sectPr>
      <w:headerReference w:type="default" r:id="rId7"/>
      <w:footerReference w:type="default" r:id="rId8"/>
      <w:pgSz w:w="12240" w:h="15840" w:orient="portrait"/>
      <w:pgMar w:top="1160" w:right="1240" w:bottom="110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5EC" w:sz="4" w:space="4"/>
      </w:pBdr>
      <w:tabs>
        <w:tab w:val="right" w:pos="9760"/>
      </w:tabs>
    </w:pPr>
    <w:r>
      <w:rPr>
        <w:rFonts w:ascii="Calibri" w:cs="Calibri" w:eastAsia="Calibri" w:hAnsi="Calibri"/>
        <w:color w:val="6B7280"/>
        <w:sz w:val="15"/>
        <w:szCs w:val="15"/>
      </w:rPr>
      <w:t xml:space="preserve">HGF Management Company · Program Administrator · Confidential</w:t>
    </w:r>
    <w:r>
      <w:rPr>
        <w:sz w:val="15"/>
        <w:szCs w:val="15"/>
      </w:rPr>
      <w:t xml:space="preserve">	</w:t>
    </w:r>
    <w:r>
      <w:rPr>
        <w:rFonts w:ascii="Calibri" w:cs="Calibri" w:eastAsia="Calibri" w:hAnsi="Calibri"/>
        <w:color w:val="6B7280"/>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5EC" w:sz="4" w:space="4"/>
      </w:pBdr>
      <w:tabs>
        <w:tab w:val="right" w:pos="9760"/>
      </w:tabs>
    </w:pPr>
    <w:r>
      <w:rPr>
        <w:rFonts w:ascii="Calibri" w:cs="Calibri" w:eastAsia="Calibri" w:hAnsi="Calibri"/>
        <w:b/>
        <w:bCs/>
        <w:color w:val="153A5B"/>
        <w:sz w:val="17"/>
        <w:szCs w:val="17"/>
      </w:rPr>
      <w:t xml:space="preserve">INSITE™</w:t>
    </w:r>
    <w:r>
      <w:rPr>
        <w:rFonts w:ascii="Calibri" w:cs="Calibri" w:eastAsia="Calibri" w:hAnsi="Calibri"/>
        <w:color w:val="6B7280"/>
        <w:sz w:val="17"/>
        <w:szCs w:val="17"/>
      </w:rPr>
      <w:t xml:space="preserve">  |  Transaction Execution</w:t>
    </w:r>
    <w:r>
      <w:rPr>
        <w:sz w:val="17"/>
        <w:szCs w:val="17"/>
      </w:rPr>
      <w:t xml:space="preserve">	</w:t>
    </w:r>
    <w:r>
      <w:rPr>
        <w:rFonts w:ascii="Calibri" w:cs="Calibri" w:eastAsia="Calibri" w:hAnsi="Calibri"/>
        <w:b/>
        <w:bCs/>
        <w:color w:val="3E7C59"/>
        <w:sz w:val="17"/>
        <w:szCs w:val="17"/>
      </w:rPr>
      <w:t xml:space="preserve">INS-401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83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53A5B"/>
      <w:sz w:val="30"/>
      <w:szCs w:val="30"/>
    </w:rPr>
  </w:style>
  <w:style w:type="paragraph" w:styleId="Heading2">
    <w:name w:val="Heading 2"/>
    <w:basedOn w:val="Normal"/>
    <w:next w:val="Normal"/>
    <w:qFormat/>
    <w:pPr>
      <w:outlineLvl w:val="1"/>
    </w:pPr>
    <w:rPr>
      <w:rFonts w:ascii="Calibri" w:cs="Calibri" w:eastAsia="Calibri" w:hAnsi="Calibri"/>
      <w:b/>
      <w:bCs/>
      <w:color w:val="153A5B"/>
      <w:sz w:val="24"/>
      <w:szCs w:val="24"/>
    </w:rPr>
  </w:style>
  <w:style w:type="paragraph" w:styleId="Heading3">
    <w:name w:val="Heading 3"/>
    <w:basedOn w:val="Normal"/>
    <w:next w:val="Normal"/>
    <w:qFormat/>
    <w:pPr>
      <w:outlineLvl w:val="2"/>
    </w:pPr>
    <w:rPr>
      <w:rFonts w:ascii="Calibri" w:cs="Calibri" w:eastAsia="Calibri" w:hAnsi="Calibri"/>
      <w:b/>
      <w:bCs/>
      <w:color w:val="3E7C59"/>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0a63711945d47cdb0797870a2c65d7711d38cb1.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2026-07-10T05:16:10.738Z</dcterms:created>
  <dcterms:modified xsi:type="dcterms:W3CDTF">2026-07-10T05:16:10.738Z</dcterms:modified>
</cp:coreProperties>
</file>

<file path=docProps/custom.xml><?xml version="1.0" encoding="utf-8"?>
<Properties xmlns="http://schemas.openxmlformats.org/officeDocument/2006/custom-properties" xmlns:vt="http://schemas.openxmlformats.org/officeDocument/2006/docPropsVTypes"/>
</file>