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 July 13, 2026, prepared for the founder’s review. This full draft builds out the founder’s outline of July 11 and 12. Two program decisions remain his and are marked in place: school-fee eligibility (question 9) and the financing platform’s relationship to the note-per-project structure (question 10). The outline’s mechanical defects are corrected here per the comparison memo; every factual claim traces to the INSITE Claims Register, entries listed in the Sources section; and the sample legal instruments in the appendices are presented as term maps for bond counsel to draft, not as legal documents.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the open decision, question 9 to the founder: the launch policy excludes them; the founder’s outline includes them; if he elects inclusion,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and every project passes the appraisal and burden tests in Chapter 4 before any funding occurs.</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Pending the founder’s decision on question 9. If school fees are included, districts receive their statutory fees sooner and with fewer deferral requests, at the cost of one master agreement signature; if excluded, districts are unaffected and this section is removed at adoption.</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and marked pending question 10.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marked pending question 9, with the joint-agreement mechanism and the pay-then-reimburse mechanics described in Chapter 2.5.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Marked pending question 10, and drafted here on the reading the founder’s own notes support: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 If the founder instead answers that the facility replaces the note-per-project layer, this section and four external documents change together.</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and the program’s adopted delinquency policy governs reminders, demand, and escalation.</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pending question 10</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Pending the founder’s decision, question 9; excluded at launch as this draft stands.</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33" w:name="appendices"/>
    <w:p>
      <w:pPr>
        <w:pStyle w:val="Heading2"/>
      </w:pPr>
      <w:r>
        <w:t xml:space="preserve">Appendices</w:t>
      </w:r>
    </w:p>
    <w:p>
      <w:pPr>
        <w:pStyle w:val="FirstParagraph"/>
      </w:pPr>
      <w:r>
        <w:rPr>
          <w:bCs/>
          <w:b/>
        </w:rPr>
        <w:t xml:space="preserve">Appendix A: Participation Agreement, term map for bond counsel.</w:t>
      </w:r>
      <w:r>
        <w:t xml:space="preserve"> </w:t>
      </w:r>
      <w:r>
        <w:t xml:space="preserve">Parties: the participating agency and the program administrator. Term: evergreen with exit provisions. Covers: the agency’s formation undertakings and approval rights; the administrator’s duties and standards of care; document standards; fees and cost recovery; indemnity architecture; records and audit; assignment limits; termination and wind-down. Status: TO BE DRAFTED BY BOND COUNSEL.</w:t>
      </w:r>
    </w:p>
    <w:p>
      <w:pPr>
        <w:pStyle w:val="BodyText"/>
      </w:pPr>
      <w:r>
        <w:rPr>
          <w:bCs/>
          <w:b/>
        </w:rPr>
        <w:t xml:space="preserve">Appendix B: Program flow, six sequences.</w:t>
      </w:r>
      <w:r>
        <w:t xml:space="preserve"> </w:t>
      </w:r>
      <w:r>
        <w:t xml:space="preserve">One, the lifecycle: form once, annex per project, fund, administer annually, refinance optionally, continue. Two, formation: goals and policies, resolution of intention, hearing, landowner election, formation and recording. Three, developer annexation: application, screening, appraisal, underwriting, unanimous approval, council consent item, recording, funding. Four, the annual cycle: calculate, reconcile, submit to county, collect on the bill, report. Five, facility cash flow: draw request, approval, advance, payment of eligible costs, special-tax repayment. Six, optional refinancing: stabilize, evaluate, refinance or hold, continue annexing. Rendered diagrams follow at adoption.</w:t>
      </w:r>
    </w:p>
    <w:p>
      <w:pPr>
        <w:pStyle w:val="BodyText"/>
      </w:pPr>
      <w:r>
        <w:rPr>
          <w:bCs/>
          <w:b/>
        </w:rPr>
        <w:t xml:space="preserve">Appendix C: Responsibility matrix.</w:t>
      </w:r>
      <w:r>
        <w:t xml:space="preserve"> </w:t>
      </w:r>
      <w:r>
        <w:t xml:space="preserve">The table in Chapter 5.4 is the controlling matrix.</w:t>
      </w:r>
    </w:p>
    <w:p>
      <w:pPr>
        <w:pStyle w:val="BodyText"/>
      </w:pPr>
      <w:r>
        <w:rPr>
          <w:bCs/>
          <w:b/>
        </w:rPr>
        <w:t xml:space="preserve">Appendix D: The program document suite.</w:t>
      </w:r>
      <w:r>
        <w:t xml:space="preserve"> </w:t>
      </w:r>
      <w:r>
        <w:t xml:space="preserve">Participation Agreement (Appendix A); Funding Agreement; Acquisition Agreement; Reimbursement Agreement; Indemnity Agreement; joint community facilities agreement where Government Code 53316.2 requires one; and the Developer Application Package, which is the existing INS-201. Each agreement: TO BE DRAFTED BY BOND COUNSEL from the Chapter 6.7 descriptions.</w:t>
      </w:r>
    </w:p>
    <w:p>
      <w:pPr>
        <w:pStyle w:val="BodyText"/>
      </w:pPr>
      <w:r>
        <w:rPr>
          <w:bCs/>
          <w:b/>
        </w:rPr>
        <w:t xml:space="preserve">Appendix E: Resolutions, purpose maps for bond counsel.</w:t>
      </w:r>
      <w:r>
        <w:t xml:space="preserve"> </w:t>
      </w:r>
      <w:r>
        <w:t xml:space="preserve">Resolution adopting local goals and policies (satisfies Government Code 53312.7). Resolution of intention (names the district, facilities and fees, rate-and-method, future annexation area, hearing date). Resolution of formation and annexation resolutions (the per-project consent items). Annual levy resolution or ordinance. Status: TO BE DRAFTED BY BOND COUNSEL.</w:t>
      </w:r>
    </w:p>
    <w:p>
      <w:pPr>
        <w:pStyle w:val="BodyText"/>
      </w:pPr>
      <w:r>
        <w:rPr>
          <w:bCs/>
          <w:b/>
        </w:rPr>
        <w:t xml:space="preserve">Appendix F: Glossary.</w:t>
      </w:r>
      <w:r>
        <w:t xml:space="preserve"> </w:t>
      </w:r>
      <w:r>
        <w:t xml:space="preserve">Annexation: a parcel joining the existing district by its owner’s unanimous written approval. Backup special tax: the rate-and-method’s protective floor mechanics. CDIAC: the California Debt and Investment Advisory Commission, whose appraisal standards the program adopts. CFD: a community facilities district under the Mello-Roos Act. Future annexation area: territory identified at formation from which parcels may later annex, Government Code 53339.3(b). JCFA: joint community facilities agreement, Government Code 53316.2. Maximum special tax: the recorded ceiling per land-use class. MAI: the Appraisal Institute’s senior designation, required of program appraisers. Notice of Special Tax: the statutory disclosure delivered to buyers. Notice of Special Tax Lien: the recorded instrument that makes the obligation run with the land. Prepayment: full satisfaction of the obligation under Government Code 53344 and the rate-and-method. Rate-and-method of apportionment: the recorded tax formula. Resolution of intention: the council act that begins formation. Special tax: the Act’s non-ad-valorem levy, collected with property taxes.</w:t>
      </w:r>
    </w:p>
    <w:p>
      <w:pPr>
        <w:pStyle w:val="BodyText"/>
      </w:pPr>
      <w:r>
        <w:rPr>
          <w:bCs/>
          <w:b/>
        </w:rPr>
        <w:t xml:space="preserve">Appendix G: Checklists.</w:t>
      </w:r>
      <w:r>
        <w:t xml:space="preserve"> </w:t>
      </w:r>
      <w:r>
        <w:t xml:space="preserve">For the city or county: goals and policies adopted; participation agreement executed; resolution of intention; hearing held in the 30-to-60-day window; formation documents recorded; first annexation calendared. For a JPA: joint agreement in place; member approvals mapped; the same formation sequence. For INSITE: data package standard current; appraisal panel engaged under INS-101; rate-and-method template adopted; levy submission format confirmed with the county. For bond counsel: the Appendix D suite drafted; the school-fee joint-agreement question answered if opened; reimbursement look-back confirmed. For the special tax consultant: rate-and-method drafted as the program standard; escalation, backup, and prepayment mechanics fixed; annexation inheritance confirmed.</w:t>
      </w:r>
    </w:p>
    <w:bookmarkEnd w:id="33"/>
    <w:bookmarkStart w:id="34"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2026-07-13T01:09:25Z</dcterms:created>
  <dcterms:modified xsi:type="dcterms:W3CDTF">2026-07-13T01:09:25Z</dcterms:modified>
</cp:coreProperties>
</file>

<file path=docProps/custom.xml><?xml version="1.0" encoding="utf-8"?>
<Properties xmlns="http://schemas.openxmlformats.org/officeDocument/2006/custom-properties" xmlns:vt="http://schemas.openxmlformats.org/officeDocument/2006/docPropsVTypes"/>
</file>