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INS-010</w:t>
      </w:r>
    </w:p>
    <w:p>
      <w:pPr>
        <w:spacing w:after="40"/>
      </w:pPr>
      <w:r>
        <w:rPr>
          <w:rFonts w:ascii="Calibri" w:cs="Calibri" w:eastAsia="Calibri" w:hAnsi="Calibri"/>
          <w:b/>
          <w:bCs/>
          <w:color w:val="153A5B"/>
          <w:sz w:val="52"/>
          <w:szCs w:val="52"/>
        </w:rPr>
        <w:t xml:space="preserve">PROGRAM OPERATIONS</w:t>
      </w:r>
    </w:p>
    <w:p>
      <w:pPr>
        <w:spacing w:after="160"/>
      </w:pPr>
      <w:r>
        <w:rPr>
          <w:rFonts w:ascii="Calibri" w:cs="Calibri" w:eastAsia="Calibri" w:hAnsi="Calibri"/>
          <w:b/>
          <w:bCs/>
          <w:color w:val="153A5B"/>
          <w:sz w:val="52"/>
          <w:szCs w:val="52"/>
        </w:rPr>
        <w:t xml:space="preserve">MANUAL</w:t>
      </w:r>
    </w:p>
    <w:p>
      <w:pPr>
        <w:pBdr>
          <w:bottom w:val="single" w:color="3E7C59" w:sz="18" w:space="8"/>
        </w:pBdr>
        <w:spacing w:after="420"/>
      </w:pPr>
      <w:r>
        <w:rPr>
          <w:rFonts w:ascii="Calibri" w:cs="Calibri" w:eastAsia="Calibri" w:hAnsi="Calibri"/>
          <w:color w:val="6B7280"/>
          <w:sz w:val="24"/>
          <w:szCs w:val="24"/>
        </w:rPr>
        <w:t xml:space="preserve">Governance · Organization · Transaction Lifecycle · Systems · Compliance</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&amp; School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 (Draft)</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for founder review</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Internal — Confidential</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1 — PURPOSE, SCOPE &amp; DEFINITIONS</w:t>
      </w:r>
    </w:p>
    <w:p>
      <w:pPr>
        <w:pStyle w:val="Heading2"/>
        <w:spacing w:after="120" w:before="260"/>
      </w:pPr>
      <w:r>
        <w:rPr>
          <w:rFonts w:ascii="Calibri" w:cs="Calibri" w:eastAsia="Calibri" w:hAnsi="Calibri"/>
          <w:b/>
          <w:bCs/>
          <w:color w:val="153A5B"/>
          <w:sz w:val="24"/>
          <w:szCs w:val="24"/>
        </w:rPr>
        <w:t xml:space="preserve">1.1 Purpose</w:t>
      </w:r>
    </w:p>
    <w:p>
      <w:pPr>
        <w:spacing w:after="140" w:line="276"/>
      </w:pPr>
      <w:r>
        <w:rPr>
          <w:rFonts w:ascii="Calibri" w:cs="Calibri" w:eastAsia="Calibri" w:hAnsi="Calibri"/>
          <w:color w:val="222831"/>
          <w:sz w:val="21"/>
          <w:szCs w:val="21"/>
        </w:rPr>
        <w:t xml:space="preserve">This manual defines how the INSITE Program operates as a business: who does what, in what order, under which controls, and with what evidence. It is the master operating document of the publication library. Every other INSITE publication is a subsystem of the lifecycle defined here.</w:t>
      </w:r>
    </w:p>
    <w:p>
      <w:pPr>
        <w:pStyle w:val="Heading2"/>
        <w:spacing w:after="120" w:before="260"/>
      </w:pPr>
      <w:r>
        <w:rPr>
          <w:rFonts w:ascii="Calibri" w:cs="Calibri" w:eastAsia="Calibri" w:hAnsi="Calibri"/>
          <w:b/>
          <w:bCs/>
          <w:color w:val="153A5B"/>
          <w:sz w:val="24"/>
          <w:szCs w:val="24"/>
        </w:rPr>
        <w:t xml:space="preserve">1.2 Scope</w:t>
      </w:r>
    </w:p>
    <w:p>
      <w:pPr>
        <w:spacing w:after="140" w:line="276"/>
      </w:pPr>
      <w:r>
        <w:rPr>
          <w:rFonts w:ascii="Calibri" w:cs="Calibri" w:eastAsia="Calibri" w:hAnsi="Calibri"/>
          <w:color w:val="222831"/>
          <w:sz w:val="21"/>
          <w:szCs w:val="21"/>
        </w:rPr>
        <w:t xml:space="preserve">INS-010 governs the INSITE Development Impact &amp; School Fee Financing Program administered by HGF Management Company. It covers governance and issuer relationships, organization and staffing, the end-to-end transaction lifecycle, subcontracted functions, systems and data, the compliance calendar, quality control, and performance standards. It does not restate the technical content of the valuation (INS-100 series), origination (INS-200), underwriting (INS-300), execution (INS-400), administration (INS-500), or agency (INS-600) publications; it assigns and sequences them.</w:t>
      </w:r>
    </w:p>
    <w:p>
      <w:pPr>
        <w:pStyle w:val="Heading2"/>
        <w:spacing w:after="120" w:before="260"/>
      </w:pPr>
      <w:r>
        <w:rPr>
          <w:rFonts w:ascii="Calibri" w:cs="Calibri" w:eastAsia="Calibri" w:hAnsi="Calibri"/>
          <w:b/>
          <w:bCs/>
          <w:color w:val="153A5B"/>
          <w:sz w:val="24"/>
          <w:szCs w:val="24"/>
        </w:rPr>
        <w:t xml:space="preserve">1.3 Program in one paragraph</w:t>
      </w:r>
    </w:p>
    <w:p>
      <w:pPr>
        <w:spacing w:after="140" w:line="276"/>
      </w:pPr>
      <w:r>
        <w:rPr>
          <w:rFonts w:ascii="Calibri" w:cs="Calibri" w:eastAsia="Calibri" w:hAnsi="Calibri"/>
          <w:color w:val="222831"/>
          <w:sz w:val="21"/>
          <w:szCs w:val="21"/>
        </w:rPr>
        <w:t xml:space="preserve">INSITE is a proposed California land-secured financing platform for small residential projects (approximately 2–50 lots; typical project ≈10 lots). Eligible public development impact fees and public improvements are financed through Community Facilities District (CFD) special taxes authorized by the Mello-Roos Community Facilities Act of 1982 (Gov. Code § 53311 et seq.), collected on the county secured property tax roll, and repaid from privately placed, tax-secured notes. Comparable statewide land-secured programs exist — CSCDA’s SCIP and CMFA’s BOLD — and are tuned to larger balances; INSITE’s differentiation is a standardized, annexation-based small-balance operating model, not a new legal mechanism.</w:t>
      </w:r>
    </w:p>
    <w:p>
      <w:pPr>
        <w:pStyle w:val="Heading2"/>
        <w:spacing w:after="120" w:before="260"/>
      </w:pPr>
      <w:r>
        <w:rPr>
          <w:rFonts w:ascii="Calibri" w:cs="Calibri" w:eastAsia="Calibri" w:hAnsi="Calibri"/>
          <w:b/>
          <w:bCs/>
          <w:color w:val="153A5B"/>
          <w:sz w:val="24"/>
          <w:szCs w:val="24"/>
        </w:rPr>
        <w:t xml:space="preserve">1.4 Definitions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300"/>
        <w:gridCol w:w="7460"/>
      </w:tblGrid>
      <w:tr>
        <w:trPr>
          <w:tblHeader/>
        </w:trPr>
        <w:tc>
          <w:tcPr>
            <w:tcW w:type="dxa" w:w="2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Term</w:t>
            </w:r>
          </w:p>
        </w:tc>
        <w:tc>
          <w:tcPr>
            <w:tcW w:type="dxa" w:w="74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Meaning</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Administrator</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HGF Management Company, operating the INSITE Program under agreement with the Issuer.</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public agency that owns the district and issues the notes/bonds: a JPA partner or a participating city/county.</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CFD</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Community Facilities District formed under the Mello-Roos Act; levies a special tax secured by a continuing lien on taxable parcels.</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Annexation</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Addition of a project’s parcels into an existing INSITE CFD (future annexation area), avoiding per-project district formation.</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Rate and Method of Apportionment — the formula that determines each parcel’s special tax.</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Administrator (TRA)</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Specialist firm that prepares the annual levy file, submits county direct charges, reconciles collections, and tracks delinquencies. Subcontracted initially.</w:t>
            </w:r>
          </w:p>
        </w:tc>
      </w:tr>
      <w:tr>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Value-to-lien</w:t>
            </w:r>
          </w:p>
        </w:tc>
        <w:tc>
          <w:tcPr>
            <w:tcW w:type="dxa" w:w="7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Ratio of appraised property value to total land-secured debt. Statutory condition: 3:1 (Gov. Code § 53345.8). INSITE program policy: 4:1.</w:t>
            </w:r>
          </w:p>
        </w:tc>
      </w:tr>
      <w:tr>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w:t>
            </w:r>
          </w:p>
        </w:tc>
        <w:tc>
          <w:tcPr>
            <w:tcW w:type="dxa" w:w="7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Bank, insurance company, or family office purchasing INSITE notes in a private placement.</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2 — GOVERNANCE &amp; PROGRAM STRUCTURE</w:t>
      </w:r>
    </w:p>
    <w:p>
      <w:pPr>
        <w:pStyle w:val="Heading2"/>
        <w:spacing w:after="120" w:before="260"/>
      </w:pPr>
      <w:r>
        <w:rPr>
          <w:rFonts w:ascii="Calibri" w:cs="Calibri" w:eastAsia="Calibri" w:hAnsi="Calibri"/>
          <w:b/>
          <w:bCs/>
          <w:color w:val="153A5B"/>
          <w:sz w:val="24"/>
          <w:szCs w:val="24"/>
        </w:rPr>
        <w:t xml:space="preserve">2.1 Legal and commercial structure</w:t>
      </w:r>
    </w:p>
    <w:p>
      <w:pPr>
        <w:spacing w:after="140" w:line="276"/>
      </w:pPr>
      <w:r>
        <w:rPr>
          <w:rFonts w:ascii="Calibri" w:cs="Calibri" w:eastAsia="Calibri" w:hAnsi="Calibri"/>
          <w:color w:val="222831"/>
          <w:sz w:val="21"/>
          <w:szCs w:val="21"/>
        </w:rPr>
        <w:t xml:space="preserve">The operating entity is HGF Management Company (final entity form and state of organization to be confirmed with counsel; see Open Items). HGF owns the INSITE brand, publications, data, underwriting standards, technology, and agency/developer relationships. The public financing program itself is owned by the Issuer. This separation is deliberate: it keeps public-agency liability off INSITE and keeps INSITE’s enterprise value (standards, systems, relationships) off the public books.</w:t>
      </w:r>
    </w:p>
    <w:p>
      <w:pPr>
        <w:pStyle w:val="Heading2"/>
        <w:spacing w:after="120" w:before="260"/>
      </w:pPr>
      <w:r>
        <w:rPr>
          <w:rFonts w:ascii="Calibri" w:cs="Calibri" w:eastAsia="Calibri" w:hAnsi="Calibri"/>
          <w:b/>
          <w:bCs/>
          <w:color w:val="153A5B"/>
          <w:sz w:val="24"/>
          <w:szCs w:val="24"/>
        </w:rPr>
        <w:t xml:space="preserve">2.2 Issuer models</w:t>
      </w:r>
    </w:p>
    <w:p>
      <w:pPr>
        <w:spacing w:after="140" w:line="276"/>
      </w:pPr>
      <w:r>
        <w:rPr>
          <w:rFonts w:ascii="Calibri" w:cs="Calibri" w:eastAsia="Calibri" w:hAnsi="Calibri"/>
          <w:color w:val="222831"/>
          <w:sz w:val="21"/>
          <w:szCs w:val="21"/>
        </w:rPr>
        <w:t xml:space="preserve">INSITE is designed to operate under both issuer models simultaneously; the public agency chooses its governance path while INSITE remains the operating platform.</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400"/>
        <w:gridCol w:w="3550"/>
        <w:gridCol w:w="2300"/>
        <w:gridCol w:w="2510"/>
      </w:tblGrid>
      <w:tr>
        <w:trPr>
          <w:tblHeader/>
        </w:trPr>
        <w:tc>
          <w:tcPr>
            <w:tcW w:type="dxa" w:w="14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Model</w:t>
            </w:r>
          </w:p>
        </w:tc>
        <w:tc>
          <w:tcPr>
            <w:tcW w:type="dxa" w:w="3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How it works</w:t>
            </w:r>
          </w:p>
        </w:tc>
        <w:tc>
          <w:tcPr>
            <w:tcW w:type="dxa" w:w="2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Best for</w:t>
            </w:r>
          </w:p>
        </w:tc>
        <w:tc>
          <w:tcPr>
            <w:tcW w:type="dxa" w:w="25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Trade-offs</w:t>
            </w:r>
          </w:p>
        </w:tc>
      </w:tr>
      <w:tr>
        <w:tc>
          <w:tcPr>
            <w:tcW w:type="dxa" w:w="14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 — JPA partner</w:t>
            </w:r>
          </w:p>
        </w:tc>
        <w:tc>
          <w:tcPr>
            <w:tcW w:type="dxa" w:w="3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 existing joint powers authority sponsors the district; projects annex in. Closest to the SCIP/BOLD pattern.</w:t>
            </w:r>
          </w:p>
        </w:tc>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Fast launch; jurisdictions that prefer a familiar conduit.</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Revenue sharing; less policy control; platform risk if JPA builds its own administrator.</w:t>
            </w:r>
          </w:p>
        </w:tc>
      </w:tr>
      <w:tr>
        <w:tc>
          <w:tcPr>
            <w:tcW w:type="dxa" w:w="14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 — Direct city / county</w:t>
            </w:r>
          </w:p>
        </w:tc>
        <w:tc>
          <w:tcPr>
            <w:tcW w:type="dxa" w:w="3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local agency forms its own INSITE-administered CFD with a future annexation area; INSITE runs everything else.</w:t>
            </w:r>
          </w:p>
        </w:tc>
        <w:tc>
          <w:tcPr>
            <w:tcW w:type="dxa" w:w="2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Agencies with finance staff wanting local control; long-term enterprise value.</w:t>
            </w:r>
          </w:p>
        </w:tc>
        <w:tc>
          <w:tcPr>
            <w:tcW w:type="dxa" w:w="25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Per-agency council approvals, counsel review, and onboarding effort (INS-601).</w:t>
            </w:r>
          </w:p>
        </w:tc>
      </w:tr>
      <w:tr>
        <w:tc>
          <w:tcPr>
            <w:tcW w:type="dxa" w:w="14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Hybrid (target state)</w:t>
            </w:r>
          </w:p>
        </w:tc>
        <w:tc>
          <w:tcPr>
            <w:tcW w:type="dxa" w:w="3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Both models run in parallel; the INSITE brand and operating standards are constant across issuers.</w:t>
            </w:r>
          </w:p>
        </w:tc>
        <w:tc>
          <w:tcPr>
            <w:tcW w:type="dxa" w:w="2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Statewide scale.</w:t>
            </w:r>
          </w:p>
        </w:tc>
        <w:tc>
          <w:tcPr>
            <w:tcW w:type="dxa" w:w="25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Requires strict document and data uniformity — which is the point of this library.</w:t>
            </w:r>
          </w:p>
        </w:tc>
      </w:tr>
    </w:tbl>
    <w:p>
      <w:pPr>
        <w:pStyle w:val="Heading2"/>
        <w:spacing w:after="120" w:before="260"/>
      </w:pPr>
      <w:r>
        <w:rPr>
          <w:rFonts w:ascii="Calibri" w:cs="Calibri" w:eastAsia="Calibri" w:hAnsi="Calibri"/>
          <w:b/>
          <w:bCs/>
          <w:color w:val="153A5B"/>
          <w:sz w:val="24"/>
          <w:szCs w:val="24"/>
        </w:rPr>
        <w:t xml:space="preserve">2.3 Division of functions (Issuer vs. Program Administrator)</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160"/>
        <w:gridCol w:w="1800"/>
        <w:gridCol w:w="3800"/>
      </w:tblGrid>
      <w:tr>
        <w:trPr>
          <w:tblHeader/>
        </w:trPr>
        <w:tc>
          <w:tcPr>
            <w:tcW w:type="dxa" w:w="41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Function</w:t>
            </w:r>
          </w:p>
        </w:tc>
        <w:tc>
          <w:tcPr>
            <w:tcW w:type="dxa" w:w="18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Issuer</w:t>
            </w:r>
          </w:p>
        </w:tc>
        <w:tc>
          <w:tcPr>
            <w:tcW w:type="dxa" w:w="38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(Program Administrator)</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Owns the public program</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Adopts resolutions &amp; local goals/policies (incl. appraisal standards)</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Drafts and recommends</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Issues notes / bonds</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Assists and coordinates</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Approves program policies</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Recommends</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marketing</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onboarding &amp; customer service</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(INS-301)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management (INS-101/102)</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Transaction documentation (INS-401)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Funding coordination</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&amp; levy calculation (INS-501)</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(TRA subcontract initially)</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preparation &amp; county submission</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(TRA subcontract initially)</w:t>
            </w:r>
          </w:p>
        </w:tc>
      </w:tr>
      <w:tr>
        <w:tc>
          <w:tcPr>
            <w:tcW w:type="dxa" w:w="4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monitoring &amp; escalation</w:t>
            </w:r>
          </w:p>
        </w:tc>
        <w:tc>
          <w:tcPr>
            <w:tcW w:type="dxa" w:w="1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r>
        <w:tc>
          <w:tcPr>
            <w:tcW w:type="dxa" w:w="4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Investor reporting</w:t>
            </w:r>
          </w:p>
        </w:tc>
        <w:tc>
          <w:tcPr>
            <w:tcW w:type="dxa" w:w="1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38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w:t>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Design principle</w:t>
            </w:r>
          </w:p>
          <w:p>
            <w:pPr>
              <w:spacing w:after="0" w:line="264"/>
            </w:pPr>
            <w:r>
              <w:rPr>
                <w:rFonts w:ascii="Calibri" w:cs="Calibri" w:eastAsia="Calibri" w:hAnsi="Calibri"/>
                <w:color w:val="222831"/>
                <w:sz w:val="20"/>
                <w:szCs w:val="20"/>
              </w:rPr>
              <w:t xml:space="preserve">The Issuer keeps every governmental decision. INSITE keeps every operational function. Nothing in this manual delegates a discretionary public act to the Administrator.</w:t>
            </w:r>
          </w:p>
        </w:tc>
      </w:tr>
    </w:tbl>
    <w:p>
      <w:pPr>
        <w:pStyle w:val="Heading2"/>
        <w:spacing w:after="120" w:before="260"/>
      </w:pPr>
      <w:r>
        <w:rPr>
          <w:rFonts w:ascii="Calibri" w:cs="Calibri" w:eastAsia="Calibri" w:hAnsi="Calibri"/>
          <w:b/>
          <w:bCs/>
          <w:color w:val="153A5B"/>
          <w:sz w:val="24"/>
          <w:szCs w:val="24"/>
        </w:rPr>
        <w:t xml:space="preserve">2.4 Subcontracted functions at launch</w:t>
      </w:r>
    </w:p>
    <w:p>
      <w:pPr>
        <w:pStyle w:val="ListParagraph"/>
        <w:numPr>
          <w:ilvl w:val="0"/>
          <w:numId w:val="2"/>
        </w:numPr>
        <w:spacing w:after="90" w:line="264"/>
      </w:pPr>
      <w:r>
        <w:rPr>
          <w:rFonts w:ascii="Calibri" w:cs="Calibri" w:eastAsia="Calibri" w:hAnsi="Calibri"/>
          <w:color w:val="222831"/>
          <w:sz w:val="21"/>
          <w:szCs w:val="21"/>
        </w:rPr>
        <w:t xml:space="preserve">RMA &amp; Program Design Consultant (one-time engagement): designs the standardized RMA, annual tax formula, prepayment methodology, annexation methodology, and value-to-lien mechanics adopted by each Issuer.</w:t>
      </w:r>
    </w:p>
    <w:p>
      <w:pPr>
        <w:pStyle w:val="ListParagraph"/>
        <w:numPr>
          <w:ilvl w:val="0"/>
          <w:numId w:val="2"/>
        </w:numPr>
        <w:spacing w:after="90" w:line="264"/>
      </w:pPr>
      <w:r>
        <w:rPr>
          <w:rFonts w:ascii="Calibri" w:cs="Calibri" w:eastAsia="Calibri" w:hAnsi="Calibri"/>
          <w:color w:val="222831"/>
          <w:sz w:val="21"/>
          <w:szCs w:val="21"/>
        </w:rPr>
        <w:t xml:space="preserve">Tax Roll Administrator (ongoing): prepares annual levies, creates and submits county tax-roll files, reconciles collections, calculates prepayments, tracks delinquencies, and supports trustee/investor reporting. Engaging an established firm buys credibility with agencies while INSITE retains the administrator relationship and recurring revenue.</w:t>
      </w:r>
    </w:p>
    <w:p>
      <w:pPr>
        <w:pStyle w:val="ListParagraph"/>
        <w:numPr>
          <w:ilvl w:val="0"/>
          <w:numId w:val="2"/>
        </w:numPr>
        <w:spacing w:after="90" w:line="264"/>
      </w:pPr>
      <w:r>
        <w:rPr>
          <w:rFonts w:ascii="Calibri" w:cs="Calibri" w:eastAsia="Calibri" w:hAnsi="Calibri"/>
          <w:color w:val="222831"/>
          <w:sz w:val="21"/>
          <w:szCs w:val="21"/>
        </w:rPr>
        <w:t xml:space="preserve">Program Administration &amp; Operations Consultant (as-needed): pressure-tests this manual, internal controls, and software requirements against incumbent practice.</w:t>
      </w:r>
    </w:p>
    <w:p>
      <w:pPr>
        <w:spacing w:after="140" w:line="276"/>
      </w:pPr>
      <w:r>
        <w:rPr>
          <w:rFonts w:ascii="Calibri" w:cs="Calibri" w:eastAsia="Calibri" w:hAnsi="Calibri"/>
          <w:color w:val="222831"/>
          <w:sz w:val="21"/>
          <w:szCs w:val="21"/>
        </w:rPr>
        <w:t xml:space="preserve">Bond counsel is engaged per issuance by the Issuer (or by HGF for self-funded pilot costs). Candidate firms identified by the founder for outreach — not engaged, not endorsed — are Weist Law; Law Offices of Alexis S. M. Chiu; and Dannis Woliver Kelley.</w:t>
      </w:r>
    </w:p>
    <w:p>
      <w:pPr>
        <w:pStyle w:val="Heading2"/>
        <w:spacing w:after="120" w:before="260"/>
      </w:pPr>
      <w:r>
        <w:rPr>
          <w:rFonts w:ascii="Calibri" w:cs="Calibri" w:eastAsia="Calibri" w:hAnsi="Calibri"/>
          <w:b/>
          <w:bCs/>
          <w:color w:val="153A5B"/>
          <w:sz w:val="24"/>
          <w:szCs w:val="24"/>
        </w:rPr>
        <w:t xml:space="preserve">2.5 Revenue model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100"/>
        <w:gridCol w:w="2700"/>
        <w:gridCol w:w="2200"/>
        <w:gridCol w:w="2760"/>
      </w:tblGrid>
      <w:tr>
        <w:trPr>
          <w:tblHeader/>
        </w:trPr>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Stream</w:t>
            </w:r>
          </w:p>
        </w:tc>
        <w:tc>
          <w:tcPr>
            <w:tcW w:type="dxa" w:w="2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Basis</w:t>
            </w:r>
          </w:p>
        </w:tc>
        <w:tc>
          <w:tcPr>
            <w:tcW w:type="dxa" w:w="2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When earned</w:t>
            </w:r>
          </w:p>
        </w:tc>
        <w:tc>
          <w:tcPr>
            <w:tcW w:type="dxa" w:w="2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Notes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Origination / program fee</w:t>
            </w:r>
          </w:p>
        </w:tc>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Fixed fee or % of financed amount per closed annexation</w:t>
            </w:r>
          </w:p>
        </w:tc>
        <w:tc>
          <w:tcPr>
            <w:tcW w:type="dxa" w:w="2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At closing, from proceeds or developer deposit</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Sized so a ≈10-lot deal clears all third-party costs; founder’s targeted all-in execution cost per annexation is $5,000–$30,000 (founder estimate — validate with real quotes).</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fee</w:t>
            </w:r>
          </w:p>
        </w:tc>
        <w:tc>
          <w:tcPr>
            <w:tcW w:type="dxa" w:w="2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Per-parcel or per-district fee embedded in the RMA’s administrative expense component</w:t>
            </w:r>
          </w:p>
        </w:tc>
        <w:tc>
          <w:tcPr>
            <w:tcW w:type="dxa" w:w="2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Each levy year for the life of the special tax</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The recurring, compounding asset of the business.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Application / screening fee</w:t>
            </w:r>
          </w:p>
        </w:tc>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Flat fee at Stage 2–3</w:t>
            </w:r>
          </w:p>
        </w:tc>
        <w:tc>
          <w:tcPr>
            <w:tcW w:type="dxa" w:w="2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 submission</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Covers screening cost; credited at closing (policy decision — Open Items).</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Ancillary</w:t>
            </w:r>
          </w:p>
        </w:tc>
        <w:tc>
          <w:tcPr>
            <w:tcW w:type="dxa" w:w="2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processing, estoppel/payoff letters, data services</w:t>
            </w:r>
          </w:p>
        </w:tc>
        <w:tc>
          <w:tcPr>
            <w:tcW w:type="dxa" w:w="2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As incurred</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Priced per published fee schedule.</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3 — ORGANIZATION, ROLES &amp; RACI</w:t>
      </w:r>
    </w:p>
    <w:p>
      <w:pPr>
        <w:pStyle w:val="Heading2"/>
        <w:spacing w:after="120" w:before="260"/>
      </w:pPr>
      <w:r>
        <w:rPr>
          <w:rFonts w:ascii="Calibri" w:cs="Calibri" w:eastAsia="Calibri" w:hAnsi="Calibri"/>
          <w:b/>
          <w:bCs/>
          <w:color w:val="153A5B"/>
          <w:sz w:val="24"/>
          <w:szCs w:val="24"/>
        </w:rPr>
        <w:t xml:space="preserve">3.1 Launch organization (Phase 1: pilot through first ~10 annexations)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450"/>
        <w:gridCol w:w="2650"/>
        <w:gridCol w:w="4660"/>
      </w:tblGrid>
      <w:tr>
        <w:trPr>
          <w:tblHeader/>
        </w:trPr>
        <w:tc>
          <w:tcPr>
            <w:tcW w:type="dxa" w:w="24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Role</w:t>
            </w:r>
          </w:p>
        </w:tc>
        <w:tc>
          <w:tcPr>
            <w:tcW w:type="dxa" w:w="26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Held by (launch)</w:t>
            </w:r>
          </w:p>
        </w:tc>
        <w:tc>
          <w:tcPr>
            <w:tcW w:type="dxa" w:w="46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Core responsibilities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Principal</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Dennis Lanni</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&amp; purchaser relationships; final credit approval; policy.</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Operations Lead</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Founder-designate / first hire</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Runs Stages 1–7 day-to-day; owns the pipeline and this manual.</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Content &amp; Communications</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Gene Palmer (engagement)</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Publications, brand, agency-facing materials, website.</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Reviewer</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Principal + contract MAI reviewer</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 reviews; scorecards; exceptions.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 Special Tax Consultant</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Subcontract (one-time + per-deal)</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application; annexation tax exhibits.</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Tax Roll Administrator</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Subcontract (ongoing)</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execution: levy, county files, delinquency, prepayments.</w:t>
            </w:r>
          </w:p>
        </w:tc>
      </w:tr>
      <w:tr>
        <w:tc>
          <w:tcPr>
            <w:tcW w:type="dxa" w:w="24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Bond Counsel</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issuance</w:t>
            </w:r>
          </w:p>
        </w:tc>
        <w:tc>
          <w:tcPr>
            <w:tcW w:type="dxa" w:w="4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Formation/annexation validity; note documents; opinions.</w:t>
            </w:r>
          </w:p>
        </w:tc>
      </w:tr>
      <w:tr>
        <w:tc>
          <w:tcPr>
            <w:tcW w:type="dxa" w:w="24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Panel</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 MAI providers (INS-102)</w:t>
            </w:r>
          </w:p>
        </w:tc>
        <w:tc>
          <w:tcPr>
            <w:tcW w:type="dxa" w:w="4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INS-101-conforming appraisals.</w:t>
            </w:r>
          </w:p>
        </w:tc>
      </w:tr>
    </w:tbl>
    <w:p>
      <w:pPr>
        <w:pStyle w:val="Heading2"/>
        <w:spacing w:after="120" w:before="260"/>
      </w:pPr>
      <w:r>
        <w:rPr>
          <w:rFonts w:ascii="Calibri" w:cs="Calibri" w:eastAsia="Calibri" w:hAnsi="Calibri"/>
          <w:b/>
          <w:bCs/>
          <w:color w:val="153A5B"/>
          <w:sz w:val="24"/>
          <w:szCs w:val="24"/>
        </w:rPr>
        <w:t xml:space="preserve">3.2 RACI by lifecycle stage</w:t>
      </w:r>
    </w:p>
    <w:p>
      <w:pPr>
        <w:spacing w:after="140" w:line="276"/>
      </w:pPr>
      <w:r>
        <w:rPr>
          <w:rFonts w:ascii="Calibri" w:cs="Calibri" w:eastAsia="Calibri" w:hAnsi="Calibri"/>
          <w:color w:val="6B7280"/>
          <w:sz w:val="17"/>
          <w:szCs w:val="17"/>
        </w:rPr>
        <w:t xml:space="preserve">R = Responsible · A = Accountable · C = Consulted · I = Informed. Ops = Operations Lead; Prin = Principal; UW = Underwriting Reviewer; RMA = special tax consultant; TRA = tax roll administrator; BC = bond counsel; Dev = developer; Iss = issuer.</w:t>
      </w:r>
    </w:p>
    <w:tbl>
      <w:tblPr>
        <w:tblW w:type="dxa" w:w="9660"/>
        <w:tblBorders>
          <w:top w:val="single" w:color="DDE5EC" w:sz="4"/>
          <w:left w:val="single" w:color="DDE5EC" w:sz="4"/>
          <w:bottom w:val="single" w:color="DDE5EC" w:sz="4"/>
          <w:right w:val="single" w:color="DDE5EC" w:sz="4"/>
          <w:insideH w:val="single" w:color="DDE5EC" w:sz="4"/>
          <w:insideV w:val="single" w:color="DDE5EC" w:sz="4"/>
        </w:tblBorders>
      </w:tblPr>
      <w:tblGrid>
        <w:gridCol w:w="3050"/>
        <w:gridCol w:w="900"/>
        <w:gridCol w:w="900"/>
        <w:gridCol w:w="900"/>
        <w:gridCol w:w="900"/>
        <w:gridCol w:w="900"/>
        <w:gridCol w:w="950"/>
        <w:gridCol w:w="1160"/>
      </w:tblGrid>
      <w:tr>
        <w:trPr>
          <w:tblHeader/>
        </w:trPr>
        <w:tc>
          <w:tcPr>
            <w:tcW w:type="dxa" w:w="30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Stage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Ops</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Prin</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UW</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RMA</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TRA</w:t>
            </w:r>
          </w:p>
        </w:tc>
        <w:tc>
          <w:tcPr>
            <w:tcW w:type="dxa" w:w="9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BC</w:t>
            </w:r>
          </w:p>
        </w:tc>
        <w:tc>
          <w:tcPr>
            <w:tcW w:type="dxa" w:w="11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Iss</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 Inquiry</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 Eligibility screen (INS-202)</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Data package (INS-201)</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 Appraisal (INS-101/102)</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Underwriting (INS-301)</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 Annexation &amp; docs (INS-401)</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r>
      <w:tr>
        <w:tc>
          <w:tcPr>
            <w:tcW w:type="dxa" w:w="3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 Closing &amp; funding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1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r>
      <w:tr>
        <w:tc>
          <w:tcPr>
            <w:tcW w:type="dxa" w:w="3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8 Annual administration (INS-501)</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w:t>
            </w:r>
          </w:p>
        </w:tc>
        <w:tc>
          <w:tcPr>
            <w:tcW w:type="dxa" w:w="9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w:t>
            </w:r>
          </w:p>
        </w:tc>
        <w:tc>
          <w:tcPr>
            <w:tcW w:type="dxa" w:w="11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w:t>
            </w:r>
          </w:p>
        </w:tc>
      </w:tr>
    </w:tbl>
    <w:p>
      <w:pPr>
        <w:pStyle w:val="Heading2"/>
        <w:spacing w:after="120" w:before="260"/>
      </w:pPr>
      <w:r>
        <w:rPr>
          <w:rFonts w:ascii="Calibri" w:cs="Calibri" w:eastAsia="Calibri" w:hAnsi="Calibri"/>
          <w:b/>
          <w:bCs/>
          <w:color w:val="153A5B"/>
          <w:sz w:val="24"/>
          <w:szCs w:val="24"/>
        </w:rPr>
        <w:t xml:space="preserve">3.3 Delegations and approval authority</w:t>
      </w:r>
    </w:p>
    <w:p>
      <w:pPr>
        <w:pStyle w:val="ListParagraph"/>
        <w:numPr>
          <w:ilvl w:val="0"/>
          <w:numId w:val="3"/>
        </w:numPr>
        <w:spacing w:after="90" w:line="264"/>
      </w:pPr>
      <w:r>
        <w:rPr>
          <w:rFonts w:ascii="Calibri" w:cs="Calibri" w:eastAsia="Calibri" w:hAnsi="Calibri"/>
          <w:color w:val="222831"/>
          <w:sz w:val="21"/>
          <w:szCs w:val="21"/>
        </w:rPr>
        <w:t xml:space="preserve">Eligibility pass/fail at Stage 2: Operations Lead, per INS-202 criteria; any exception requires Principal sign-off in writing.</w:t>
      </w:r>
    </w:p>
    <w:p>
      <w:pPr>
        <w:pStyle w:val="ListParagraph"/>
        <w:numPr>
          <w:ilvl w:val="0"/>
          <w:numId w:val="3"/>
        </w:numPr>
        <w:spacing w:after="90" w:line="264"/>
      </w:pPr>
      <w:r>
        <w:rPr>
          <w:rFonts w:ascii="Calibri" w:cs="Calibri" w:eastAsia="Calibri" w:hAnsi="Calibri"/>
          <w:color w:val="222831"/>
          <w:sz w:val="21"/>
          <w:szCs w:val="21"/>
        </w:rPr>
        <w:t xml:space="preserve">Credit approval at Stage 5: Principal, on a completed INS-301 file with scorecard ≥ 80 and 4:1 test met; conditions documented on the approval memo.</w:t>
      </w:r>
    </w:p>
    <w:p>
      <w:pPr>
        <w:pStyle w:val="ListParagraph"/>
        <w:numPr>
          <w:ilvl w:val="0"/>
          <w:numId w:val="3"/>
        </w:numPr>
        <w:spacing w:after="90" w:line="264"/>
      </w:pPr>
      <w:r>
        <w:rPr>
          <w:rFonts w:ascii="Calibri" w:cs="Calibri" w:eastAsia="Calibri" w:hAnsi="Calibri"/>
          <w:color w:val="222831"/>
          <w:sz w:val="21"/>
          <w:szCs w:val="21"/>
        </w:rPr>
        <w:t xml:space="preserve">Document release at Stage 6: only bond-counsel-approved templates; no ad hoc edits outside bracketed fields.</w:t>
      </w:r>
    </w:p>
    <w:p>
      <w:pPr>
        <w:pStyle w:val="ListParagraph"/>
        <w:numPr>
          <w:ilvl w:val="0"/>
          <w:numId w:val="3"/>
        </w:numPr>
        <w:spacing w:after="90" w:line="264"/>
      </w:pPr>
      <w:r>
        <w:rPr>
          <w:rFonts w:ascii="Calibri" w:cs="Calibri" w:eastAsia="Calibri" w:hAnsi="Calibri"/>
          <w:color w:val="222831"/>
          <w:sz w:val="21"/>
          <w:szCs w:val="21"/>
        </w:rPr>
        <w:t xml:space="preserve">Funding authorization at Stage 7: Principal, after the INS-401 closing checklist is 100% complete.</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4 — THE TRANSACTION LIFECYCLE</w:t>
      </w:r>
    </w:p>
    <w:p>
      <w:pPr>
        <w:spacing w:after="160"/>
        <w:jc w:val="center"/>
      </w:pPr>
      <w:r>
        <w:drawing>
          <wp:inline distT="0" distB="0" distL="0" distR="0">
            <wp:extent cx="61722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1381125"/>
                    </a:xfrm>
                    <a:prstGeom prst="rect">
                      <a:avLst/>
                    </a:prstGeom>
                  </pic:spPr>
                </pic:pic>
              </a:graphicData>
            </a:graphic>
          </wp:inline>
        </w:drawing>
      </w:r>
    </w:p>
    <w:p>
      <w:pPr>
        <w:pStyle w:val="Heading2"/>
        <w:spacing w:after="120" w:before="260"/>
      </w:pPr>
      <w:r>
        <w:rPr>
          <w:rFonts w:ascii="Calibri" w:cs="Calibri" w:eastAsia="Calibri" w:hAnsi="Calibri"/>
          <w:b/>
          <w:bCs/>
          <w:color w:val="153A5B"/>
          <w:sz w:val="24"/>
          <w:szCs w:val="24"/>
        </w:rPr>
        <w:t xml:space="preserve">4.1 Stage table — owners, inputs, outputs, service levels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420"/>
        <w:gridCol w:w="1900"/>
        <w:gridCol w:w="900"/>
        <w:gridCol w:w="2280"/>
        <w:gridCol w:w="2760"/>
        <w:gridCol w:w="1500"/>
      </w:tblGrid>
      <w:tr>
        <w:trPr>
          <w:tblHeader/>
        </w:trPr>
        <w:tc>
          <w:tcPr>
            <w:tcW w:type="dxa" w:w="42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t>
            </w:r>
          </w:p>
        </w:tc>
        <w:tc>
          <w:tcPr>
            <w:tcW w:type="dxa" w:w="1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Stage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Owner</w:t>
            </w:r>
          </w:p>
        </w:tc>
        <w:tc>
          <w:tcPr>
            <w:tcW w:type="dxa" w:w="228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Key input</w:t>
            </w:r>
          </w:p>
        </w:tc>
        <w:tc>
          <w:tcPr>
            <w:tcW w:type="dxa" w:w="2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Exit gate (output)</w:t>
            </w:r>
          </w:p>
        </w:tc>
        <w:tc>
          <w:tcPr>
            <w:tcW w:type="dxa" w:w="1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Target SLA</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Inquiry</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Contact + project basics</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Logged opportunity; INS-202 screen scheduled</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 business day</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Eligibility screen</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INS-202.01 screening form</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Pass/fail letter; preliminary sizing</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 business days</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Data package</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 + Ops</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INS-201 checklist items</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Certified complete package</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Dev-paced; 2-day completeness review</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Package to panel appraiser</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INS-101-conforming report</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15–20 business days (engagement letter)</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UW/Prin</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 package</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Approval memo w/ conditions; max financing</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business days</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Annexation &amp; docs</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 + BC</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Approval memo</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Executed consents; lien notice recorded</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10–15 business days</w:t>
            </w:r>
          </w:p>
        </w:tc>
      </w:tr>
      <w:tr>
        <w:tc>
          <w:tcPr>
            <w:tcW w:type="dxa" w:w="42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w:t>
            </w:r>
          </w:p>
        </w:tc>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Closing &amp; funding</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 + BC</w:t>
            </w:r>
          </w:p>
        </w:tc>
        <w:tc>
          <w:tcPr>
            <w:tcW w:type="dxa" w:w="228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Recorded lien; purchaser sign-off</w:t>
            </w:r>
          </w:p>
        </w:tc>
        <w:tc>
          <w:tcPr>
            <w:tcW w:type="dxa" w:w="2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Notes funded; fees paid to agency; file archived</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 business days</w:t>
            </w:r>
          </w:p>
        </w:tc>
      </w:tr>
      <w:tr>
        <w:tc>
          <w:tcPr>
            <w:tcW w:type="dxa" w:w="42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8</w:t>
            </w:r>
          </w:p>
        </w:tc>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28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Closed-deal data record</w:t>
            </w:r>
          </w:p>
        </w:tc>
        <w:tc>
          <w:tcPr>
            <w:tcW w:type="dxa" w:w="2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on county roll; annual report issued</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compliance calendar</w:t>
            </w:r>
          </w:p>
        </w:tc>
      </w:tr>
    </w:tbl>
    <w:p>
      <w:pPr>
        <w:pStyle w:val="Heading2"/>
        <w:spacing w:after="120" w:before="260"/>
      </w:pPr>
      <w:r>
        <w:rPr>
          <w:rFonts w:ascii="Calibri" w:cs="Calibri" w:eastAsia="Calibri" w:hAnsi="Calibri"/>
          <w:b/>
          <w:bCs/>
          <w:color w:val="153A5B"/>
          <w:sz w:val="24"/>
          <w:szCs w:val="24"/>
        </w:rPr>
        <w:t xml:space="preserve">4.2 Stage QC gates</w:t>
      </w:r>
    </w:p>
    <w:p>
      <w:pPr>
        <w:pStyle w:val="ListParagraph"/>
        <w:numPr>
          <w:ilvl w:val="0"/>
          <w:numId w:val="3"/>
        </w:numPr>
        <w:spacing w:after="90" w:line="264"/>
      </w:pPr>
      <w:r>
        <w:rPr>
          <w:rFonts w:ascii="Calibri" w:cs="Calibri" w:eastAsia="Calibri" w:hAnsi="Calibri"/>
          <w:color w:val="222831"/>
          <w:sz w:val="21"/>
          <w:szCs w:val="21"/>
        </w:rPr>
        <w:t xml:space="preserve">Gate 2→3: no appraisal is ordered before the INS-201 minimum package is certified complete (mirrors INS-101/INS-301 intake rules).</w:t>
      </w:r>
    </w:p>
    <w:p>
      <w:pPr>
        <w:pStyle w:val="ListParagraph"/>
        <w:numPr>
          <w:ilvl w:val="0"/>
          <w:numId w:val="3"/>
        </w:numPr>
        <w:spacing w:after="90" w:line="264"/>
      </w:pPr>
      <w:r>
        <w:rPr>
          <w:rFonts w:ascii="Calibri" w:cs="Calibri" w:eastAsia="Calibri" w:hAnsi="Calibri"/>
          <w:color w:val="222831"/>
          <w:sz w:val="21"/>
          <w:szCs w:val="21"/>
        </w:rPr>
        <w:t xml:space="preserve">Gate 5→6: no documents are released before written credit approval and issuer confirmation of fee eligibility.</w:t>
      </w:r>
    </w:p>
    <w:p>
      <w:pPr>
        <w:pStyle w:val="ListParagraph"/>
        <w:numPr>
          <w:ilvl w:val="0"/>
          <w:numId w:val="3"/>
        </w:numPr>
        <w:spacing w:after="90" w:line="264"/>
      </w:pPr>
      <w:r>
        <w:rPr>
          <w:rFonts w:ascii="Calibri" w:cs="Calibri" w:eastAsia="Calibri" w:hAnsi="Calibri"/>
          <w:color w:val="222831"/>
          <w:sz w:val="21"/>
          <w:szCs w:val="21"/>
        </w:rPr>
        <w:t xml:space="preserve">Gate 6→7: no funding before recorded Notice of Special Tax Lien and a fully executed closing checklist.</w:t>
      </w:r>
    </w:p>
    <w:p>
      <w:pPr>
        <w:pStyle w:val="ListParagraph"/>
        <w:numPr>
          <w:ilvl w:val="0"/>
          <w:numId w:val="3"/>
        </w:numPr>
        <w:spacing w:after="90" w:line="264"/>
      </w:pPr>
      <w:r>
        <w:rPr>
          <w:rFonts w:ascii="Calibri" w:cs="Calibri" w:eastAsia="Calibri" w:hAnsi="Calibri"/>
          <w:color w:val="222831"/>
          <w:sz w:val="21"/>
          <w:szCs w:val="21"/>
        </w:rPr>
        <w:t xml:space="preserve">Gate 7→8: no file leaves Stage 7 until the levy-system record (APNs, RMA class, principal, schedule) is entered and independently re-keyed or verified.</w:t>
      </w:r>
    </w:p>
    <w:p>
      <w:pPr>
        <w:pStyle w:val="Heading2"/>
        <w:spacing w:after="120" w:before="260"/>
      </w:pPr>
      <w:r>
        <w:rPr>
          <w:rFonts w:ascii="Calibri" w:cs="Calibri" w:eastAsia="Calibri" w:hAnsi="Calibri"/>
          <w:b/>
          <w:bCs/>
          <w:color w:val="153A5B"/>
          <w:sz w:val="24"/>
          <w:szCs w:val="24"/>
        </w:rPr>
        <w:t xml:space="preserve">4.3 Pipeline states and data record</w:t>
      </w:r>
    </w:p>
    <w:p>
      <w:pPr>
        <w:spacing w:after="140" w:line="276"/>
      </w:pPr>
      <w:r>
        <w:rPr>
          <w:rFonts w:ascii="Calibri" w:cs="Calibri" w:eastAsia="Calibri" w:hAnsi="Calibri"/>
          <w:color w:val="222831"/>
          <w:sz w:val="21"/>
          <w:szCs w:val="21"/>
        </w:rPr>
        <w:t xml:space="preserve">Every opportunity carries exactly one state: LEAD → SCREENED-PASS / SCREENED-FAIL → PACKAGE-IN-PROGRESS → PACKAGE-COMPLETE → APPRAISAL-ORDERED → APPRAISAL-RECEIVED → UW-APPROVED / UW-DECLINED / UW-CONDITIONS → DOCS-OUT → RECORDED → FUNDED → ADMINISTERED. State changes are timestamped with an owner; the pipeline report (Ch. 9) is generated from these states, never assembled by hand.</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5 — PUBLICATION ARCHITECTURE &amp; DOCUMENT CONTROL</w:t>
      </w:r>
    </w:p>
    <w:p>
      <w:pPr>
        <w:spacing w:after="140" w:line="276"/>
      </w:pPr>
      <w:r>
        <w:rPr>
          <w:rFonts w:ascii="Calibri" w:cs="Calibri" w:eastAsia="Calibri" w:hAnsi="Calibri"/>
          <w:color w:val="222831"/>
          <w:sz w:val="21"/>
          <w:szCs w:val="21"/>
        </w:rPr>
        <w:t xml:space="preserve">The publication library is the operating system of the program. Numbering: INS-&lt;series&gt;&lt;doc&gt;. Series: 000 governance/brand · 100 valuation · 200 origination · 300 underwriting · 400 execution · 500 administration · 600 public agencies. Forms carry the parent number plus a two-digit suffix (e.g., INS-202.01 Screening Form).</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050"/>
        <w:gridCol w:w="5150"/>
        <w:gridCol w:w="900"/>
        <w:gridCol w:w="2660"/>
      </w:tblGrid>
      <w:tr>
        <w:trPr>
          <w:tblHeader/>
        </w:trPr>
        <w:tc>
          <w:tcPr>
            <w:tcW w:type="dxa" w:w="10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Pub</w:t>
            </w:r>
          </w:p>
        </w:tc>
        <w:tc>
          <w:tcPr>
            <w:tcW w:type="dxa" w:w="51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Title</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Series</w:t>
            </w:r>
          </w:p>
        </w:tc>
        <w:tc>
          <w:tcPr>
            <w:tcW w:type="dxa" w:w="26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Status (July 2026)</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Brand Standards &amp; Publication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v1.0</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INS-002</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Whitepaper — Overview &amp; Market Analysis</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Program Operations Manual (this document)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Draft v1.0</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Standards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(JULY2026)</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 MAI Appraisal Provider RFQP</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(JULY2026)</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INS-102A</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Standard DCF &amp; Bulk Sale Analysis Workbook</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v1.0</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Data Package Checklist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Developer Intake &amp; Eligibility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Review &amp; Underwriting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Founder draft</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Transaction Execution Manual</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w:t>
            </w:r>
          </w:p>
        </w:tc>
        <w:tc>
          <w:tcPr>
            <w:tcW w:type="dxa" w:w="51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Administration &amp; Tax Roll Manual</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500</w:t>
            </w:r>
          </w:p>
        </w:tc>
        <w:tc>
          <w:tcPr>
            <w:tcW w:type="dxa" w:w="26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r>
        <w:tc>
          <w:tcPr>
            <w:tcW w:type="dxa" w:w="10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c>
          <w:tcPr>
            <w:tcW w:type="dxa" w:w="51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Public Agency Onboarding Guide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600</w:t>
            </w:r>
          </w:p>
        </w:tc>
        <w:tc>
          <w:tcPr>
            <w:tcW w:type="dxa" w:w="26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Issued this release</w:t>
            </w:r>
          </w:p>
        </w:tc>
      </w:tr>
    </w:tbl>
    <w:p>
      <w:pPr>
        <w:pStyle w:val="Heading2"/>
        <w:spacing w:after="120" w:before="260"/>
      </w:pPr>
      <w:r>
        <w:rPr>
          <w:rFonts w:ascii="Calibri" w:cs="Calibri" w:eastAsia="Calibri" w:hAnsi="Calibri"/>
          <w:b/>
          <w:bCs/>
          <w:color w:val="153A5B"/>
          <w:sz w:val="24"/>
          <w:szCs w:val="24"/>
        </w:rPr>
        <w:t xml:space="preserve">5.1 Version control rules</w:t>
      </w:r>
    </w:p>
    <w:p>
      <w:pPr>
        <w:pStyle w:val="ListParagraph"/>
        <w:numPr>
          <w:ilvl w:val="0"/>
          <w:numId w:val="3"/>
        </w:numPr>
        <w:spacing w:after="90" w:line="264"/>
      </w:pPr>
      <w:r>
        <w:rPr>
          <w:rFonts w:ascii="Calibri" w:cs="Calibri" w:eastAsia="Calibri" w:hAnsi="Calibri"/>
          <w:color w:val="222831"/>
          <w:sz w:val="21"/>
          <w:szCs w:val="21"/>
        </w:rPr>
        <w:t xml:space="preserve">Single source of truth per publication; versions are X.Y (major.minor) with a revision-history table maintained in the master file.</w:t>
      </w:r>
    </w:p>
    <w:p>
      <w:pPr>
        <w:pStyle w:val="ListParagraph"/>
        <w:numPr>
          <w:ilvl w:val="0"/>
          <w:numId w:val="3"/>
        </w:numPr>
        <w:spacing w:after="90" w:line="264"/>
      </w:pPr>
      <w:r>
        <w:rPr>
          <w:rFonts w:ascii="Calibri" w:cs="Calibri" w:eastAsia="Calibri" w:hAnsi="Calibri"/>
          <w:color w:val="222831"/>
          <w:sz w:val="21"/>
          <w:szCs w:val="21"/>
        </w:rPr>
        <w:t xml:space="preserve">Only the Operations Lead issues versions; superseded versions are watermarked and archived, never deleted.</w:t>
      </w:r>
    </w:p>
    <w:p>
      <w:pPr>
        <w:pStyle w:val="ListParagraph"/>
        <w:numPr>
          <w:ilvl w:val="0"/>
          <w:numId w:val="3"/>
        </w:numPr>
        <w:spacing w:after="90" w:line="264"/>
      </w:pPr>
      <w:r>
        <w:rPr>
          <w:rFonts w:ascii="Calibri" w:cs="Calibri" w:eastAsia="Calibri" w:hAnsi="Calibri"/>
          <w:color w:val="222831"/>
          <w:sz w:val="21"/>
          <w:szCs w:val="21"/>
        </w:rPr>
        <w:t xml:space="preserve">Bond-counsel-controlled legal templates are stored separately from program manuals and change only with counsel sign-off.</w:t>
      </w:r>
    </w:p>
    <w:p>
      <w:pPr>
        <w:pStyle w:val="ListParagraph"/>
        <w:numPr>
          <w:ilvl w:val="0"/>
          <w:numId w:val="3"/>
        </w:numPr>
        <w:spacing w:after="90" w:line="264"/>
      </w:pPr>
      <w:r>
        <w:rPr>
          <w:rFonts w:ascii="Calibri" w:cs="Calibri" w:eastAsia="Calibri" w:hAnsi="Calibri"/>
          <w:color w:val="222831"/>
          <w:sz w:val="21"/>
          <w:szCs w:val="21"/>
        </w:rPr>
        <w:t xml:space="preserve">Every external release carries the standard pre-launch disclaimer until the pilot closes.</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6 — SYSTEMS &amp; DATA REQUIREMENTS</w:t>
      </w:r>
    </w:p>
    <w:p>
      <w:pPr>
        <w:pStyle w:val="Heading2"/>
        <w:spacing w:after="120" w:before="260"/>
      </w:pPr>
      <w:r>
        <w:rPr>
          <w:rFonts w:ascii="Calibri" w:cs="Calibri" w:eastAsia="Calibri" w:hAnsi="Calibri"/>
          <w:b/>
          <w:bCs/>
          <w:color w:val="153A5B"/>
          <w:sz w:val="24"/>
          <w:szCs w:val="24"/>
        </w:rPr>
        <w:t xml:space="preserve">6.1 Minimum viable stack (Phase 1)</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100"/>
        <w:gridCol w:w="3900"/>
        <w:gridCol w:w="3760"/>
      </w:tblGrid>
      <w:tr>
        <w:trPr>
          <w:tblHeader/>
        </w:trPr>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Capability</w:t>
            </w:r>
          </w:p>
        </w:tc>
        <w:tc>
          <w:tcPr>
            <w:tcW w:type="dxa" w:w="3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Requirement</w:t>
            </w:r>
          </w:p>
        </w:tc>
        <w:tc>
          <w:tcPr>
            <w:tcW w:type="dxa" w:w="3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Phase-1 implementation</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Pipeline / CRM</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Track states in §4.3 with timestamps, owners, and documents linked</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Structured spreadsheet or lightweight CRM; export to CSV weekly</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 management</w:t>
            </w:r>
          </w:p>
        </w:tc>
        <w:tc>
          <w:tcPr>
            <w:tcW w:type="dxa" w:w="3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Immutable deal folders matching INS-201 folder structure; versioned publications</w:t>
            </w:r>
          </w:p>
        </w:tc>
        <w:tc>
          <w:tcPr>
            <w:tcW w:type="dxa" w:w="3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Cloud drive with locked folder template + naming convention</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&amp; parcel database</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One row per APN: RMA class, principal, annual tax, status, payoff data</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Maintained by TRA; INSITE holds a mirrored read-only copy, reconciled quarterly</w:t>
            </w:r>
          </w:p>
        </w:tc>
      </w:tr>
      <w:tr>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Calculation engine</w:t>
            </w:r>
          </w:p>
        </w:tc>
        <w:tc>
          <w:tcPr>
            <w:tcW w:type="dxa" w:w="3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Preliminary sizing, 4:1 test, prepayment quotes</w:t>
            </w:r>
          </w:p>
        </w:tc>
        <w:tc>
          <w:tcPr>
            <w:tcW w:type="dxa" w:w="3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INS-102A-style controlled workbooks with locked formula cells</w:t>
            </w:r>
          </w:p>
        </w:tc>
      </w:tr>
      <w:tr>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Reporting</w:t>
            </w:r>
          </w:p>
        </w:tc>
        <w:tc>
          <w:tcPr>
            <w:tcW w:type="dxa" w:w="3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Pipeline, portfolio, delinquency, investor packages</w:t>
            </w:r>
          </w:p>
        </w:tc>
        <w:tc>
          <w:tcPr>
            <w:tcW w:type="dxa" w:w="3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Generated from CRM + levy mirror; no hand-built numbers</w:t>
            </w:r>
          </w:p>
        </w:tc>
      </w:tr>
    </w:tbl>
    <w:p>
      <w:pPr>
        <w:pStyle w:val="Heading2"/>
        <w:spacing w:after="120" w:before="260"/>
      </w:pPr>
      <w:r>
        <w:rPr>
          <w:rFonts w:ascii="Calibri" w:cs="Calibri" w:eastAsia="Calibri" w:hAnsi="Calibri"/>
          <w:b/>
          <w:bCs/>
          <w:color w:val="153A5B"/>
          <w:sz w:val="24"/>
          <w:szCs w:val="24"/>
        </w:rPr>
        <w:t xml:space="preserve">6.2 Data standards</w:t>
      </w:r>
    </w:p>
    <w:p>
      <w:pPr>
        <w:pStyle w:val="ListParagraph"/>
        <w:numPr>
          <w:ilvl w:val="0"/>
          <w:numId w:val="3"/>
        </w:numPr>
        <w:spacing w:after="90" w:line="264"/>
      </w:pPr>
      <w:r>
        <w:rPr>
          <w:rFonts w:ascii="Calibri" w:cs="Calibri" w:eastAsia="Calibri" w:hAnsi="Calibri"/>
          <w:color w:val="222831"/>
          <w:sz w:val="21"/>
          <w:szCs w:val="21"/>
        </w:rPr>
        <w:t xml:space="preserve">APN is the primary key everywhere; every record ties to county assessor formatting for the relevant county.</w:t>
      </w:r>
    </w:p>
    <w:p>
      <w:pPr>
        <w:pStyle w:val="ListParagraph"/>
        <w:numPr>
          <w:ilvl w:val="0"/>
          <w:numId w:val="3"/>
        </w:numPr>
        <w:spacing w:after="90" w:line="264"/>
      </w:pPr>
      <w:r>
        <w:rPr>
          <w:rFonts w:ascii="Calibri" w:cs="Calibri" w:eastAsia="Calibri" w:hAnsi="Calibri"/>
          <w:color w:val="222831"/>
          <w:sz w:val="21"/>
          <w:szCs w:val="21"/>
        </w:rPr>
        <w:t xml:space="preserve">Money fields carry cents; dates are ISO (YYYY-MM-DD) in systems, long-form in publications.</w:t>
      </w:r>
    </w:p>
    <w:p>
      <w:pPr>
        <w:pStyle w:val="ListParagraph"/>
        <w:numPr>
          <w:ilvl w:val="0"/>
          <w:numId w:val="3"/>
        </w:numPr>
        <w:spacing w:after="90" w:line="264"/>
      </w:pPr>
      <w:r>
        <w:rPr>
          <w:rFonts w:ascii="Calibri" w:cs="Calibri" w:eastAsia="Calibri" w:hAnsi="Calibri"/>
          <w:color w:val="222831"/>
          <w:sz w:val="21"/>
          <w:szCs w:val="21"/>
        </w:rPr>
        <w:t xml:space="preserve">Two-person verification (maker/checker) on any data that feeds a levy, payoff, or investor report.</w:t>
      </w:r>
    </w:p>
    <w:p>
      <w:pPr>
        <w:pStyle w:val="ListParagraph"/>
        <w:numPr>
          <w:ilvl w:val="0"/>
          <w:numId w:val="3"/>
        </w:numPr>
        <w:spacing w:after="90" w:line="264"/>
      </w:pPr>
      <w:r>
        <w:rPr>
          <w:rFonts w:ascii="Calibri" w:cs="Calibri" w:eastAsia="Calibri" w:hAnsi="Calibri"/>
          <w:color w:val="222831"/>
          <w:sz w:val="21"/>
          <w:szCs w:val="21"/>
        </w:rPr>
        <w:t xml:space="preserve">Developer personal/financial information is confidential: least-privilege access, no data leaves the deal folder except to parties under NDA or engagement.</w:t>
      </w:r>
    </w:p>
    <w:p>
      <w:pPr>
        <w:pStyle w:val="Heading2"/>
        <w:spacing w:after="120" w:before="260"/>
      </w:pPr>
      <w:r>
        <w:rPr>
          <w:rFonts w:ascii="Calibri" w:cs="Calibri" w:eastAsia="Calibri" w:hAnsi="Calibri"/>
          <w:b/>
          <w:bCs/>
          <w:color w:val="153A5B"/>
          <w:sz w:val="24"/>
          <w:szCs w:val="24"/>
        </w:rPr>
        <w:t xml:space="preserve">6.3 Automation roadmap</w:t>
      </w:r>
    </w:p>
    <w:p>
      <w:pPr>
        <w:spacing w:after="140" w:line="276"/>
      </w:pPr>
      <w:r>
        <w:rPr>
          <w:rFonts w:ascii="Calibri" w:cs="Calibri" w:eastAsia="Calibri" w:hAnsi="Calibri"/>
          <w:color w:val="222831"/>
          <w:sz w:val="21"/>
          <w:szCs w:val="21"/>
        </w:rPr>
        <w:t xml:space="preserve">The manuals are written procedure-first so each step can later be encoded: intake portal generating the INS-202.01 record; document assembly from approved templates; levy-file generation per county format; and AI-assisted completeness review of INS-201 packages. Automation follows the paper process — never precedes it.</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7 — COMPLIANCE CALENDAR &amp; EXTERNAL REPORTING</w:t>
      </w:r>
    </w:p>
    <w:p>
      <w:pPr>
        <w:pStyle w:val="Heading2"/>
        <w:spacing w:after="120" w:before="260"/>
      </w:pPr>
      <w:r>
        <w:rPr>
          <w:rFonts w:ascii="Calibri" w:cs="Calibri" w:eastAsia="Calibri" w:hAnsi="Calibri"/>
          <w:b/>
          <w:bCs/>
          <w:color w:val="153A5B"/>
          <w:sz w:val="24"/>
          <w:szCs w:val="24"/>
        </w:rPr>
        <w:t xml:space="preserve">7.1 Annual operating calendar (fiscal year July 1 – June 30)</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900"/>
        <w:gridCol w:w="4550"/>
        <w:gridCol w:w="900"/>
        <w:gridCol w:w="2410"/>
      </w:tblGrid>
      <w:tr>
        <w:trPr>
          <w:tblHeader/>
        </w:trPr>
        <w:tc>
          <w:tcPr>
            <w:tcW w:type="dxa" w:w="1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Window</w:t>
            </w:r>
          </w:p>
        </w:tc>
        <w:tc>
          <w:tcPr>
            <w:tcW w:type="dxa" w:w="4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Activity</w:t>
            </w:r>
          </w:p>
        </w:tc>
        <w:tc>
          <w:tcPr>
            <w:tcW w:type="dxa" w:w="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Owner</w:t>
            </w:r>
          </w:p>
        </w:tc>
        <w:tc>
          <w:tcPr>
            <w:tcW w:type="dxa" w:w="24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Publication</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Confirm parcel changes (maps recorded, transfers); freeze levy database</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§2</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July–early August</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Compute annual special tax per RMA; QC maker/checker; submit county direct-charge file by each county’s deadline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§3</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September</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Issuer/board information report on program activity (if required by program agreement)</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INS-601</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December / April</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Monitor secured-roll installment collections; flag delinquencies after each installment date</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§5</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January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Annual investor reporting package for prior calendar year</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§6</w:t>
            </w:r>
          </w:p>
        </w:tc>
      </w:tr>
      <w:tr>
        <w:tc>
          <w:tcPr>
            <w:tcW w:type="dxa" w:w="1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Rolling</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Prepayment quotes and lien releases within published SLA</w:t>
            </w:r>
          </w:p>
        </w:tc>
        <w:tc>
          <w:tcPr>
            <w:tcW w:type="dxa" w:w="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TRA/Ops</w:t>
            </w:r>
          </w:p>
        </w:tc>
        <w:tc>
          <w:tcPr>
            <w:tcW w:type="dxa" w:w="24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§4</w:t>
            </w:r>
          </w:p>
        </w:tc>
      </w:tr>
      <w:tr>
        <w:tc>
          <w:tcPr>
            <w:tcW w:type="dxa" w:w="1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 issuance</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State debt-issuance reports (CDIAC) and any agreed noteholder notices</w:t>
            </w:r>
          </w:p>
        </w:tc>
        <w:tc>
          <w:tcPr>
            <w:tcW w:type="dxa" w:w="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BC/Ops</w:t>
            </w:r>
          </w:p>
        </w:tc>
        <w:tc>
          <w:tcPr>
            <w:tcW w:type="dxa" w:w="24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r>
    </w:tbl>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CONFIRM BEFORE RELIANCE</w:t>
            </w:r>
          </w:p>
          <w:p>
            <w:pPr>
              <w:spacing w:after="0" w:line="264"/>
            </w:pPr>
            <w:r>
              <w:rPr>
                <w:rFonts w:ascii="Calibri" w:cs="Calibri" w:eastAsia="Calibri" w:hAnsi="Calibri"/>
                <w:color w:val="222831"/>
                <w:sz w:val="20"/>
                <w:szCs w:val="20"/>
              </w:rPr>
              <w:t xml:space="preserve">County direct-charge submission deadlines, secured-roll installment/delinquency dates, and CDIAC report-of-issuance timing vary and were not independently verified in this release. Before the first levy year: (1) obtain each county Auditor-Controller’s direct-charge calendar and file specification in writing; (2) have bond counsel confirm all state reporting obligations for privately placed land-secured notes, including CDIAC reports under Gov. Code § 8855.</w:t>
            </w:r>
          </w:p>
        </w:tc>
      </w:tr>
    </w:tbl>
    <w:p>
      <w:pPr>
        <w:pStyle w:val="Heading2"/>
        <w:spacing w:after="120" w:before="260"/>
      </w:pPr>
      <w:r>
        <w:rPr>
          <w:rFonts w:ascii="Calibri" w:cs="Calibri" w:eastAsia="Calibri" w:hAnsi="Calibri"/>
          <w:b/>
          <w:bCs/>
          <w:color w:val="153A5B"/>
          <w:sz w:val="24"/>
          <w:szCs w:val="24"/>
        </w:rPr>
        <w:t xml:space="preserve">7.2 Records retention</w:t>
      </w:r>
    </w:p>
    <w:p>
      <w:pPr>
        <w:spacing w:after="140" w:line="276"/>
      </w:pPr>
      <w:r>
        <w:rPr>
          <w:rFonts w:ascii="Calibri" w:cs="Calibri" w:eastAsia="Calibri" w:hAnsi="Calibri"/>
          <w:color w:val="222831"/>
          <w:sz w:val="21"/>
          <w:szCs w:val="21"/>
        </w:rPr>
        <w:t xml:space="preserve">Full deal files are retained for the life of the special tax plus five years. Levy files, county confirmations, and payoff calculations are retained permanently. Superseded publications are archived per §5.1.</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8 — RISK MANAGEMENT &amp; QUALITY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4700"/>
        <w:gridCol w:w="2460"/>
      </w:tblGrid>
      <w:tr>
        <w:trPr>
          <w:tblHeader/>
        </w:trPr>
        <w:tc>
          <w:tcPr>
            <w:tcW w:type="dxa" w:w="26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Risk</w:t>
            </w:r>
          </w:p>
        </w:tc>
        <w:tc>
          <w:tcPr>
            <w:tcW w:type="dxa" w:w="4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Primary control</w:t>
            </w:r>
          </w:p>
        </w:tc>
        <w:tc>
          <w:tcPr>
            <w:tcW w:type="dxa" w:w="24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Where documented</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Ineligible costs financed (public-purpose failure)</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Issuer confirmation of fee eligibility before docs; counsel review; fee-schedule evidence in file</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INS-202 §3; INS-401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Over-advance vs. collateral</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3:1 statutory determination + 4:1 INSITE policy computed on the INS-101 appraisal; recomputed at closing if debt stack changed</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INS-301; INS-101 Ch.9</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Appraisal quality</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Preferred-panel RFQP, INS-101 standards, INS-301 scorecard ≥ 80 to fund</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INS-101/102/301</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Documentation defects</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Counsel-controlled templates; closing checklist; recorded-lien verification before funding</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INS-401</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errors</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Maker/checker on levy file; county confirmation reconciled to database; annual audit sample</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§3</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 foreclosure exposure</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Covenant-driven escalation ladder with dates and owners; purchaser notice thresholds</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INS-501 §5</w:t>
            </w:r>
          </w:p>
        </w:tc>
      </w:tr>
      <w:tr>
        <w:tc>
          <w:tcPr>
            <w:tcW w:type="dxa" w:w="2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Key-person / subcontractor failure</w:t>
            </w:r>
          </w:p>
        </w:tc>
        <w:tc>
          <w:tcPr>
            <w:tcW w:type="dxa" w:w="4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Documented procedures (this library); TRA contract with data-return clause; annual cross-training</w:t>
            </w:r>
          </w:p>
        </w:tc>
        <w:tc>
          <w:tcPr>
            <w:tcW w:type="dxa" w:w="24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Reputation (over-claiming)</w:t>
            </w:r>
          </w:p>
        </w:tc>
        <w:tc>
          <w:tcPr>
            <w:tcW w:type="dxa" w:w="4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Claims Register discipline; standard disclaimer; no first-mover or unverified pricing claims in any external material</w:t>
            </w:r>
          </w:p>
        </w:tc>
        <w:tc>
          <w:tcPr>
            <w:tcW w:type="dxa" w:w="24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01_EVIDENCE Claims Register</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CHAPTER 9 — PERFORMANCE STANDARDS &amp; KPIS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350"/>
        <w:gridCol w:w="4550"/>
        <w:gridCol w:w="2860"/>
      </w:tblGrid>
      <w:tr>
        <w:trPr>
          <w:tblHeader/>
        </w:trPr>
        <w:tc>
          <w:tcPr>
            <w:tcW w:type="dxa" w:w="23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KPI</w:t>
            </w:r>
          </w:p>
        </w:tc>
        <w:tc>
          <w:tcPr>
            <w:tcW w:type="dxa" w:w="4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Definition</w:t>
            </w:r>
          </w:p>
        </w:tc>
        <w:tc>
          <w:tcPr>
            <w:tcW w:type="dxa" w:w="28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Phase-1 target</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Screen turnaround</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Stage 2 SLA attainment</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90% within 3 business days</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Package-to-appraisal cycle</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Certified package → appraisal ordered</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2 business days</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End-to-end cycle time</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Screen pass → funded</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 75 business days median</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Underwriting quality</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Files funded with scorecard ≥ 80 and zero waived gates</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Levy accuracy</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County-confirmed charges matching computed levy</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 any exception root-caused in writing</w:t>
            </w:r>
          </w:p>
        </w:tc>
      </w:tr>
      <w:tr>
        <w:tc>
          <w:tcPr>
            <w:tcW w:type="dxa" w:w="23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Delinquency response</w:t>
            </w:r>
          </w:p>
        </w:tc>
        <w:tc>
          <w:tcPr>
            <w:tcW w:type="dxa" w:w="4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Escalation actions taken on covenant schedule</w:t>
            </w:r>
          </w:p>
        </w:tc>
        <w:tc>
          <w:tcPr>
            <w:tcW w:type="dxa" w:w="28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100% on time</w:t>
            </w:r>
          </w:p>
        </w:tc>
      </w:tr>
      <w:tr>
        <w:tc>
          <w:tcPr>
            <w:tcW w:type="dxa" w:w="23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Portfolio health</w:t>
            </w:r>
          </w:p>
        </w:tc>
        <w:tc>
          <w:tcPr>
            <w:tcW w:type="dxa" w:w="4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Special-tax delinquency rate vs. county average</w:t>
            </w:r>
          </w:p>
        </w:tc>
        <w:tc>
          <w:tcPr>
            <w:tcW w:type="dxa" w:w="28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Track from first levy year; report to purchasers</w:t>
            </w:r>
          </w:p>
        </w:tc>
      </w:tr>
    </w:tbl>
    <w:p>
      <w:pPr>
        <w:spacing w:after="140" w:line="276"/>
      </w:pPr>
      <w:r>
        <w:rPr>
          <w:rFonts w:ascii="Calibri" w:cs="Calibri" w:eastAsia="Calibri" w:hAnsi="Calibri"/>
          <w:color w:val="222831"/>
          <w:sz w:val="21"/>
          <w:szCs w:val="21"/>
        </w:rPr>
        <w:t xml:space="preserve">KPIs are produced from system states (§4.3) and the levy mirror (§6.1). The Operations Lead reports them monthly to the Principal and quarterly to Issuer partners as agreed.</w:t>
      </w:r>
    </w:p>
    <w:p>
      <w:pPr>
        <w:pStyle w:val="Heading1"/>
        <w:pBdr>
          <w:bottom w:val="single" w:color="3E7C59" w:sz="12" w:space="6"/>
        </w:pBdr>
        <w:spacing w:after="180" w:before="340"/>
      </w:pPr>
      <w:r>
        <w:rPr>
          <w:rFonts w:ascii="Calibri" w:cs="Calibri" w:eastAsia="Calibri" w:hAnsi="Calibri"/>
          <w:b/>
          <w:bCs/>
          <w:color w:val="153A5B"/>
          <w:sz w:val="30"/>
          <w:szCs w:val="30"/>
        </w:rPr>
        <w:t xml:space="preserve">CHAPTER 10 — OPEN ITEMS (GOVERNING LIST IN THE BUILD LOG)</w:t>
      </w:r>
    </w:p>
    <w:p>
      <w:pPr>
        <w:pStyle w:val="ListParagraph"/>
        <w:numPr>
          <w:ilvl w:val="0"/>
          <w:numId w:val="2"/>
        </w:numPr>
        <w:spacing w:after="90" w:line="264"/>
      </w:pPr>
      <w:r>
        <w:rPr>
          <w:rFonts w:ascii="Calibri" w:cs="Calibri" w:eastAsia="Calibri" w:hAnsi="Calibri"/>
          <w:color w:val="222831"/>
          <w:sz w:val="21"/>
          <w:szCs w:val="21"/>
        </w:rPr>
        <w:t xml:space="preserve">Entity confirmation: HGF Management Company LLC vs. new entity; state of organization and tax posture (founder raised NV/Tahoe — needs CA tax counsel, not assumption).</w:t>
      </w:r>
    </w:p>
    <w:p>
      <w:pPr>
        <w:pStyle w:val="ListParagraph"/>
        <w:numPr>
          <w:ilvl w:val="0"/>
          <w:numId w:val="2"/>
        </w:numPr>
        <w:spacing w:after="90" w:line="264"/>
      </w:pPr>
      <w:r>
        <w:rPr>
          <w:rFonts w:ascii="Calibri" w:cs="Calibri" w:eastAsia="Calibri" w:hAnsi="Calibri"/>
          <w:color w:val="222831"/>
          <w:sz w:val="21"/>
          <w:szCs w:val="21"/>
        </w:rPr>
        <w:t xml:space="preserve">Trademark clearance for INSITE (a live registration exists in the software class; financial-services classes require professional search).</w:t>
      </w:r>
    </w:p>
    <w:p>
      <w:pPr>
        <w:pStyle w:val="ListParagraph"/>
        <w:numPr>
          <w:ilvl w:val="0"/>
          <w:numId w:val="2"/>
        </w:numPr>
        <w:spacing w:after="90" w:line="264"/>
      </w:pPr>
      <w:r>
        <w:rPr>
          <w:rFonts w:ascii="Calibri" w:cs="Calibri" w:eastAsia="Calibri" w:hAnsi="Calibri"/>
          <w:color w:val="222831"/>
          <w:sz w:val="21"/>
          <w:szCs w:val="21"/>
        </w:rPr>
        <w:t xml:space="preserve">Executed subcontracts: RMA consultant and Tax Roll Administrator — with written per-deal and per-parcel pricing to replace founder cost estimates.</w:t>
      </w:r>
    </w:p>
    <w:p>
      <w:pPr>
        <w:pStyle w:val="ListParagraph"/>
        <w:numPr>
          <w:ilvl w:val="0"/>
          <w:numId w:val="2"/>
        </w:numPr>
        <w:spacing w:after="90" w:line="264"/>
      </w:pPr>
      <w:r>
        <w:rPr>
          <w:rFonts w:ascii="Calibri" w:cs="Calibri" w:eastAsia="Calibri" w:hAnsi="Calibri"/>
          <w:color w:val="222831"/>
          <w:sz w:val="21"/>
          <w:szCs w:val="21"/>
        </w:rPr>
        <w:t xml:space="preserve">County calendars and file specs (§7.1 verification note).</w:t>
      </w:r>
    </w:p>
    <w:p>
      <w:pPr>
        <w:pStyle w:val="ListParagraph"/>
        <w:numPr>
          <w:ilvl w:val="0"/>
          <w:numId w:val="2"/>
        </w:numPr>
        <w:spacing w:after="90" w:line="264"/>
      </w:pPr>
      <w:r>
        <w:rPr>
          <w:rFonts w:ascii="Calibri" w:cs="Calibri" w:eastAsia="Calibri" w:hAnsi="Calibri"/>
          <w:color w:val="222831"/>
          <w:sz w:val="21"/>
          <w:szCs w:val="21"/>
        </w:rPr>
        <w:t xml:space="preserve">Application-fee credit policy (§2.5).</w:t>
      </w:r>
    </w:p>
    <w:p>
      <w:pPr>
        <w:pStyle w:val="ListParagraph"/>
        <w:numPr>
          <w:ilvl w:val="0"/>
          <w:numId w:val="2"/>
        </w:numPr>
        <w:spacing w:after="90" w:line="264"/>
      </w:pPr>
      <w:r>
        <w:rPr>
          <w:rFonts w:ascii="Calibri" w:cs="Calibri" w:eastAsia="Calibri" w:hAnsi="Calibri"/>
          <w:color w:val="222831"/>
          <w:sz w:val="21"/>
          <w:szCs w:val="21"/>
        </w:rPr>
        <w:t xml:space="preserve">Program name: whether “School Fee” remains in the formal name while school fees are outside initial eligibility.</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Program Operations Manual</w:t>
    </w:r>
    <w:r>
      <w:rPr>
        <w:sz w:val="17"/>
        <w:szCs w:val="17"/>
      </w:rPr>
      <w:t xml:space="preserve">	</w:t>
    </w:r>
    <w:r>
      <w:rPr>
        <w:rFonts w:ascii="Calibri" w:cs="Calibri" w:eastAsia="Calibri" w:hAnsi="Calibri"/>
        <w:b/>
        <w:bCs/>
        <w:color w:val="3E7C59"/>
        <w:sz w:val="17"/>
        <w:szCs w:val="17"/>
      </w:rPr>
      <w:t xml:space="preserve">INS-010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image" Target="media/1580b91cacda5921ffcd164fa4efe5bb086db9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2026-07-10T05:12:46.122Z</dcterms:created>
  <dcterms:modified xsi:type="dcterms:W3CDTF">2026-07-10T05:12:46.123Z</dcterms:modified>
</cp:coreProperties>
</file>

<file path=docProps/custom.xml><?xml version="1.0" encoding="utf-8"?>
<Properties xmlns="http://schemas.openxmlformats.org/officeDocument/2006/custom-properties" xmlns:vt="http://schemas.openxmlformats.org/officeDocument/2006/docPropsVTypes"/>
</file>