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drawing>
          <wp:inline distT="0" distB="0" distL="0" distR="0">
            <wp:extent cx="590550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500"/>
      </w:pPr>
      <w:r>
        <w:rPr>
          <w:rFonts w:ascii="Calibri" w:cs="Calibri" w:eastAsia="Calibri" w:hAnsi="Calibri"/>
          <w:b/>
          <w:bCs/>
          <w:color w:val="3E7C59"/>
          <w:sz w:val="24"/>
          <w:szCs w:val="24"/>
        </w:rPr>
        <w:t xml:space="preserve">PUBLICATION INS-202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53A5B"/>
          <w:sz w:val="52"/>
          <w:szCs w:val="52"/>
        </w:rPr>
        <w:t xml:space="preserve">DEVELOPER INTAKE &amp;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53A5B"/>
          <w:sz w:val="52"/>
          <w:szCs w:val="52"/>
        </w:rPr>
        <w:t xml:space="preserve">ELIGIBILITY MANUAL</w:t>
      </w:r>
    </w:p>
    <w:p>
      <w:pPr>
        <w:pBdr>
          <w:bottom w:val="single" w:color="3E7C59" w:sz="18" w:space="8"/>
        </w:pBdr>
        <w:spacing w:after="420"/>
      </w:pPr>
      <w:r>
        <w:rPr>
          <w:rFonts w:ascii="Calibri" w:cs="Calibri" w:eastAsia="Calibri" w:hAnsi="Calibri"/>
          <w:color w:val="6B7280"/>
          <w:sz w:val="24"/>
          <w:szCs w:val="24"/>
        </w:rPr>
        <w:t xml:space="preserve">Screening · Eligibility Criteria · Preliminary Sizing · Decisioning</w:t>
      </w:r>
    </w:p>
    <w:p>
      <w:pPr>
        <w:spacing w:after="140" w:line="276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Prepared by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53A5B"/>
          <w:sz w:val="24"/>
          <w:szCs w:val="24"/>
        </w:rPr>
        <w:t xml:space="preserve">HGF Management Company — Program Administrator</w:t>
      </w:r>
    </w:p>
    <w:p>
      <w:pPr>
        <w:spacing w:after="140" w:line="276"/>
      </w:pPr>
      <w:r>
        <w:rPr>
          <w:rFonts w:ascii="Calibri" w:cs="Calibri" w:eastAsia="Calibri" w:hAnsi="Calibri"/>
          <w:color w:val="222831"/>
          <w:sz w:val="20"/>
          <w:szCs w:val="20"/>
        </w:rPr>
        <w:t xml:space="preserve">INSITE™ Development Impact &amp; School Fee Financing Program</w:t>
      </w:r>
    </w:p>
    <w:p>
      <w:pPr>
        <w:spacing w:after="120" w:before="340"/>
      </w:pPr>
      <w:r>
        <w:rPr>
          <w:rFonts w:ascii="Calibri" w:cs="Calibri" w:eastAsia="Calibri" w:hAnsi="Calibri"/>
          <w:b/>
          <w:bCs/>
          <w:color w:val="153A5B"/>
          <w:sz w:val="20"/>
          <w:szCs w:val="20"/>
        </w:rPr>
        <w:t xml:space="preserve">DOCUMENT CONTROL</w:t>
      </w:r>
    </w:p>
    <w:tbl>
      <w:tblPr>
        <w:tblW w:type="dxa" w:w="9760"/>
        <w:tblBorders>
          <w:top w:val="single" w:color="DDE5EC" w:sz="4"/>
          <w:left w:val="single" w:color="DDE5EC" w:sz="4"/>
          <w:bottom w:val="single" w:color="DDE5EC" w:sz="4"/>
          <w:right w:val="single" w:color="DDE5EC" w:sz="4"/>
          <w:insideH w:val="single" w:color="DDE5EC" w:sz="4"/>
          <w:insideV w:val="single" w:color="DDE5EC" w:sz="4"/>
        </w:tblBorders>
      </w:tblPr>
      <w:tblGrid>
        <w:gridCol w:w="2600"/>
        <w:gridCol w:w="7160"/>
      </w:tblGrid>
      <w:tr>
        <w:tc>
          <w:tcPr>
            <w:tcW w:type="dxa" w:w="26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831"/>
                <w:sz w:val="19"/>
                <w:szCs w:val="19"/>
              </w:rPr>
              <w:t xml:space="preserve">Publication number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INS-202</w:t>
            </w:r>
          </w:p>
        </w:tc>
      </w:tr>
      <w:tr>
        <w:tc>
          <w:tcPr>
            <w:tcW w:type="dxa" w:w="26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831"/>
                <w:sz w:val="19"/>
                <w:szCs w:val="19"/>
              </w:rPr>
              <w:t xml:space="preserve">Version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1.0 (Draft)</w:t>
            </w:r>
          </w:p>
        </w:tc>
      </w:tr>
      <w:tr>
        <w:tc>
          <w:tcPr>
            <w:tcW w:type="dxa" w:w="26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831"/>
                <w:sz w:val="19"/>
                <w:szCs w:val="19"/>
              </w:rPr>
              <w:t xml:space="preserve">Status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Draft for founder review</w:t>
            </w:r>
          </w:p>
        </w:tc>
      </w:tr>
      <w:tr>
        <w:tc>
          <w:tcPr>
            <w:tcW w:type="dxa" w:w="26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831"/>
                <w:sz w:val="19"/>
                <w:szCs w:val="19"/>
              </w:rPr>
              <w:t xml:space="preserve">Publication date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July 2026</w:t>
            </w:r>
          </w:p>
        </w:tc>
      </w:tr>
      <w:tr>
        <w:tc>
          <w:tcPr>
            <w:tcW w:type="dxa" w:w="26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831"/>
                <w:sz w:val="19"/>
                <w:szCs w:val="19"/>
              </w:rPr>
              <w:t xml:space="preserve">Owner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INSITE Program Administration</w:t>
            </w:r>
          </w:p>
        </w:tc>
      </w:tr>
      <w:tr>
        <w:tc>
          <w:tcPr>
            <w:tcW w:type="dxa" w:w="26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831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Internal — Confidential</w:t>
            </w:r>
          </w:p>
        </w:tc>
      </w:tr>
    </w:tbl>
    <w:p>
      <w:pPr>
        <w:spacing w:before="300"/>
      </w:pP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Pre-launch program document. INSITE is a proposed program of HGF Management Company. Nothing herein is an offer or commitment of financing, legal, tax, or investment advice, or a securities solicitation. Program structure, eligibility, pricing, and availability are subject to public issuer approval, bond counsel review, and market conditions.</w:t>
      </w:r>
    </w:p>
    <w:p>
      <w:r>
        <w:br w:type="page"/>
      </w:r>
    </w:p>
    <w:p>
      <w:pPr>
        <w:pStyle w:val="Heading1"/>
        <w:pBdr>
          <w:bottom w:val="single" w:color="3E7C59" w:sz="12" w:space="6"/>
        </w:pBdr>
        <w:spacing w:after="180" w:before="340"/>
      </w:pPr>
      <w:r>
        <w:rPr>
          <w:rFonts w:ascii="Calibri" w:cs="Calibri" w:eastAsia="Calibri" w:hAnsi="Calibri"/>
          <w:b/>
          <w:bCs/>
          <w:color w:val="153A5B"/>
          <w:sz w:val="30"/>
          <w:szCs w:val="30"/>
        </w:rPr>
        <w:t xml:space="preserve">SECTION 1 — PURPOSE &amp; POSITION IN THE LIFECYCLE</w:t>
      </w:r>
    </w:p>
    <w:p>
      <w:pPr>
        <w:spacing w:after="140" w:line="276"/>
      </w:pPr>
      <w:r>
        <w:rPr>
          <w:rFonts w:ascii="Calibri" w:cs="Calibri" w:eastAsia="Calibri" w:hAnsi="Calibri"/>
          <w:color w:val="222831"/>
          <w:sz w:val="21"/>
          <w:szCs w:val="21"/>
        </w:rPr>
        <w:t xml:space="preserve">INS-202 governs Stages 1–2 of the INSITE lifecycle (INS-010 Ch.4): converting an inquiry into a screened, sized, and decisioned opportunity before any third-party cost is incurred. Its outputs feed Stage 3 (INS-201 Developer Data Package). The screen exists to protect three parties at once: the developer (no wasted appraisal fees on ineligible deals), the Issuer (only conforming projects reach its program), and the purchaser (a pipeline that already reflects credit policy).</w:t>
      </w:r>
    </w:p>
    <w:p>
      <w:pPr>
        <w:pStyle w:val="Heading1"/>
        <w:pBdr>
          <w:bottom w:val="single" w:color="3E7C59" w:sz="12" w:space="6"/>
        </w:pBdr>
        <w:spacing w:after="180" w:before="340"/>
      </w:pPr>
      <w:r>
        <w:rPr>
          <w:rFonts w:ascii="Calibri" w:cs="Calibri" w:eastAsia="Calibri" w:hAnsi="Calibri"/>
          <w:b/>
          <w:bCs/>
          <w:color w:val="153A5B"/>
          <w:sz w:val="30"/>
          <w:szCs w:val="30"/>
        </w:rPr>
        <w:t xml:space="preserve">SECTION 2 — ELIGIBILITY CRITERIA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53A5B"/>
          <w:sz w:val="24"/>
          <w:szCs w:val="24"/>
        </w:rPr>
        <w:t xml:space="preserve">2.1 Project criteria</w:t>
      </w:r>
    </w:p>
    <w:tbl>
      <w:tblPr>
        <w:tblW w:type="dxa" w:w="9760"/>
        <w:tblBorders>
          <w:top w:val="single" w:color="DDE5EC" w:sz="4"/>
          <w:left w:val="single" w:color="DDE5EC" w:sz="4"/>
          <w:bottom w:val="single" w:color="DDE5EC" w:sz="4"/>
          <w:right w:val="single" w:color="DDE5EC" w:sz="4"/>
          <w:insideH w:val="single" w:color="DDE5EC" w:sz="4"/>
          <w:insideV w:val="single" w:color="DDE5EC" w:sz="4"/>
        </w:tblBorders>
      </w:tblPr>
      <w:tblGrid>
        <w:gridCol w:w="2000"/>
        <w:gridCol w:w="5250"/>
        <w:gridCol w:w="2510"/>
      </w:tblGrid>
      <w:tr>
        <w:trPr>
          <w:tblHeader/>
        </w:trPr>
        <w:tc>
          <w:tcPr>
            <w:tcW w:type="dxa" w:w="2000"/>
            <w:shd w:fill="153A5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5250"/>
            <w:shd w:fill="153A5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Standard</w:t>
            </w:r>
          </w:p>
        </w:tc>
        <w:tc>
          <w:tcPr>
            <w:tcW w:type="dxa" w:w="2510"/>
            <w:shd w:fill="153A5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Basis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Location</w:t>
            </w:r>
          </w:p>
        </w:tc>
        <w:tc>
          <w:tcPr>
            <w:tcW w:type="dxa" w:w="52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Parcel(s) within a jurisdiction participating in an INSITE-administered program (or realistically onboardable per INS-601 before the developer’s deadline)</w:t>
            </w:r>
          </w:p>
        </w:tc>
        <w:tc>
          <w:tcPr>
            <w:tcW w:type="dxa" w:w="251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Program agreement</w:t>
            </w:r>
          </w:p>
        </w:tc>
      </w:tr>
      <w:tr>
        <w:tc>
          <w:tcPr>
            <w:tcW w:type="dxa" w:w="20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Project size</w:t>
            </w:r>
          </w:p>
        </w:tc>
        <w:tc>
          <w:tcPr>
            <w:tcW w:type="dxa" w:w="525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Approximately 2–50 residential lots/units; program design center ≈ 10 lots</w:t>
            </w:r>
          </w:p>
        </w:tc>
        <w:tc>
          <w:tcPr>
            <w:tcW w:type="dxa" w:w="251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Program policy (INS-102)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Entitlement status</w:t>
            </w:r>
          </w:p>
        </w:tc>
        <w:tc>
          <w:tcPr>
            <w:tcW w:type="dxa" w:w="52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Tentative map approved at minimum; final map recorded or on a definite path (SB 684 / SB 1123 ministerial projects explicitly welcomed)</w:t>
            </w:r>
          </w:p>
        </w:tc>
        <w:tc>
          <w:tcPr>
            <w:tcW w:type="dxa" w:w="251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Screen evidence; Claims Register B1–B2</w:t>
            </w:r>
          </w:p>
        </w:tc>
      </w:tr>
      <w:tr>
        <w:tc>
          <w:tcPr>
            <w:tcW w:type="dxa" w:w="20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Ownership &amp; title</w:t>
            </w:r>
          </w:p>
        </w:tc>
        <w:tc>
          <w:tcPr>
            <w:tcW w:type="dxa" w:w="525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Single owner or unanimous owners willing to consent to annexation and special tax; no title condition that defeats a special-tax lien</w:t>
            </w:r>
          </w:p>
        </w:tc>
        <w:tc>
          <w:tcPr>
            <w:tcW w:type="dxa" w:w="251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Preliminary title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Value-to-lien (pre-screen)</w:t>
            </w:r>
          </w:p>
        </w:tc>
        <w:tc>
          <w:tcPr>
            <w:tcW w:type="dxa" w:w="52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Estimated as-is value ≥ 4× (proposed INSITE financing + all existing land-secured debt). Statute requires 3:1 (Gov. Code § 53345.8); 4:1 is INSITE policy</w:t>
            </w:r>
          </w:p>
        </w:tc>
        <w:tc>
          <w:tcPr>
            <w:tcW w:type="dxa" w:w="251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INS-101 Ch.9; INS-301</w:t>
            </w:r>
          </w:p>
        </w:tc>
      </w:tr>
      <w:tr>
        <w:tc>
          <w:tcPr>
            <w:tcW w:type="dxa" w:w="20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Special-tax burden</w:t>
            </w:r>
          </w:p>
        </w:tc>
        <w:tc>
          <w:tcPr>
            <w:tcW w:type="dxa" w:w="525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Projected total tax burden on completed homes within issuer policy (commonly ≤ 2% of value — confirm per issuer goals &amp; policies)</w:t>
            </w:r>
          </w:p>
        </w:tc>
        <w:tc>
          <w:tcPr>
            <w:tcW w:type="dxa" w:w="251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Issuer policies; RMA consultant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53A5B"/>
          <w:sz w:val="24"/>
          <w:szCs w:val="24"/>
        </w:rPr>
        <w:t xml:space="preserve">2.2 Eligible costs (initial program scope)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831"/>
          <w:sz w:val="21"/>
          <w:szCs w:val="21"/>
        </w:rPr>
        <w:t xml:space="preserve">Development impact fees governed by the Mitigation Fee Act (Gov. Code §§ 66000–66025) payable to a participating agency and confirmed by that agency as CFD-eligible.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831"/>
          <w:sz w:val="21"/>
          <w:szCs w:val="21"/>
        </w:rPr>
        <w:t xml:space="preserve">Utility connection and capacity charges payable to public agencies, where the Issuer and counsel confirm eligibility.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831"/>
          <w:sz w:val="21"/>
          <w:szCs w:val="21"/>
        </w:rPr>
        <w:t xml:space="preserve">Public improvements required as conditions of approval (streets, water, sewer, storm drain, dry-utility trenching in public rights-of-way) where acquisition/eligibility is confirmed for the specific issuer program.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53A5B"/>
          <w:sz w:val="24"/>
          <w:szCs w:val="24"/>
        </w:rPr>
        <w:t xml:space="preserve">2.3 Excluded from initial eligibility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831"/>
          <w:sz w:val="21"/>
          <w:szCs w:val="21"/>
        </w:rPr>
        <w:t xml:space="preserve">School facilities fees (Ed. Code § 17620 / Gov. Code §§ 65995 et seq. fees): a roadmap item requiring school district, issuer, and counsel documentation; not marketed as available.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831"/>
          <w:sz w:val="21"/>
          <w:szCs w:val="21"/>
        </w:rPr>
        <w:t xml:space="preserve">Private, on-lot, or vertical construction costs of any kind.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831"/>
          <w:sz w:val="21"/>
          <w:szCs w:val="21"/>
        </w:rPr>
        <w:t xml:space="preserve">Fees already paid more than the issuer-permitted reimbursement window before financing, unless the issuer’s reimbursement procedure is confirmed in writing.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831"/>
          <w:sz w:val="21"/>
          <w:szCs w:val="21"/>
        </w:rPr>
        <w:t xml:space="preserve">Operating charges, ongoing service fees, fines, or processing fees without capital nexus.</w:t>
      </w:r>
    </w:p>
    <w:tbl>
      <w:tblPr>
        <w:tblW w:type="dxa" w:w="9760"/>
        <w:tblBorders>
          <w:top w:val="single" w:color="DDE5EC" w:sz="4"/>
          <w:left w:val="single" w:color="3E7C59" w:sz="28"/>
          <w:bottom w:val="single" w:color="DDE5EC" w:sz="4"/>
          <w:right w:val="single" w:color="DDE5EC" w:sz="4"/>
          <w:insideH w:val="none"/>
          <w:insideV w:val="none"/>
        </w:tblBorders>
      </w:tblPr>
      <w:tblGrid>
        <w:gridCol w:w="9760"/>
      </w:tblGrid>
      <w:tr>
        <w:tc>
          <w:tcPr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53A5B"/>
                <w:sz w:val="20"/>
                <w:szCs w:val="20"/>
              </w:rPr>
              <w:t xml:space="preserve">Language discipline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831"/>
                <w:sz w:val="20"/>
                <w:szCs w:val="20"/>
              </w:rPr>
              <w:t xml:space="preserve">Screening communications never state that a specific fee “is eligible.” They state that it “appears consistent with program criteria, subject to written confirmation by the [agency] and bond counsel.”</w:t>
            </w:r>
          </w:p>
        </w:tc>
      </w:tr>
    </w:tbl>
    <w:p>
      <w:pPr>
        <w:pStyle w:val="Heading1"/>
        <w:pBdr>
          <w:bottom w:val="single" w:color="3E7C59" w:sz="12" w:space="6"/>
        </w:pBdr>
        <w:spacing w:after="180" w:before="340"/>
      </w:pPr>
      <w:r>
        <w:rPr>
          <w:rFonts w:ascii="Calibri" w:cs="Calibri" w:eastAsia="Calibri" w:hAnsi="Calibri"/>
          <w:b/>
          <w:bCs/>
          <w:color w:val="153A5B"/>
          <w:sz w:val="30"/>
          <w:szCs w:val="30"/>
        </w:rPr>
        <w:t xml:space="preserve">SECTION 3 — STAGE 1: INQUIRY HANDLING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color w:val="222831"/>
          <w:sz w:val="21"/>
          <w:szCs w:val="21"/>
        </w:rPr>
        <w:t xml:space="preserve">Log the inquiry in the pipeline (INS-010 §4.3) within one business day with: developer entity, contact, jurisdiction, APNs if known, lot count, entitlement status, target funding need and date.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color w:val="222831"/>
          <w:sz w:val="21"/>
          <w:szCs w:val="21"/>
        </w:rPr>
        <w:t xml:space="preserve">Send the standard introduction package: program overview (INS-002 summary), INS-202.01 Screening Form, and the fee-and-timeline disclosure.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color w:val="222831"/>
          <w:sz w:val="21"/>
          <w:szCs w:val="21"/>
        </w:rPr>
        <w:t xml:space="preserve">Do not discuss rates. The approved formulation: “privately placed, tax-secured financing repaid on the property tax bill; pricing is set by the purchaser at closing.”</w:t>
      </w:r>
    </w:p>
    <w:p>
      <w:pPr>
        <w:pStyle w:val="Heading1"/>
        <w:pBdr>
          <w:bottom w:val="single" w:color="3E7C59" w:sz="12" w:space="6"/>
        </w:pBdr>
        <w:spacing w:after="180" w:before="340"/>
      </w:pPr>
      <w:r>
        <w:rPr>
          <w:rFonts w:ascii="Calibri" w:cs="Calibri" w:eastAsia="Calibri" w:hAnsi="Calibri"/>
          <w:b/>
          <w:bCs/>
          <w:color w:val="153A5B"/>
          <w:sz w:val="30"/>
          <w:szCs w:val="30"/>
        </w:rPr>
        <w:t xml:space="preserve">SECTION 4 — STAGE 2: THE ELIGIBILITY SCREEN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53A5B"/>
          <w:sz w:val="24"/>
          <w:szCs w:val="24"/>
        </w:rPr>
        <w:t xml:space="preserve">4.1 Screening inputs (Form INS-202.01)</w:t>
      </w:r>
    </w:p>
    <w:tbl>
      <w:tblPr>
        <w:tblW w:type="dxa" w:w="9760"/>
        <w:tblBorders>
          <w:top w:val="single" w:color="DDE5EC" w:sz="4"/>
          <w:left w:val="single" w:color="DDE5EC" w:sz="4"/>
          <w:bottom w:val="single" w:color="DDE5EC" w:sz="4"/>
          <w:right w:val="single" w:color="DDE5EC" w:sz="4"/>
          <w:insideH w:val="single" w:color="DDE5EC" w:sz="4"/>
          <w:insideV w:val="single" w:color="DDE5EC" w:sz="4"/>
        </w:tblBorders>
      </w:tblPr>
      <w:tblGrid>
        <w:gridCol w:w="520"/>
        <w:gridCol w:w="5200"/>
        <w:gridCol w:w="4040"/>
      </w:tblGrid>
      <w:tr>
        <w:trPr>
          <w:tblHeader/>
        </w:trPr>
        <w:tc>
          <w:tcPr>
            <w:tcW w:type="dxa" w:w="520"/>
            <w:shd w:fill="153A5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5200"/>
            <w:shd w:fill="153A5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Required item</w:t>
            </w:r>
          </w:p>
        </w:tc>
        <w:tc>
          <w:tcPr>
            <w:tcW w:type="dxa" w:w="4040"/>
            <w:shd w:fill="153A5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 / status</w:t>
            </w:r>
          </w:p>
        </w:tc>
      </w:tr>
      <w:tr>
        <w:tc>
          <w:tcPr>
            <w:tcW w:type="dxa" w:w="5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Developer entity, principals, and contact information</w:t>
            </w:r>
          </w:p>
        </w:tc>
        <w:tc>
          <w:tcPr>
            <w:tcW w:type="dxa" w:w="404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Jurisdiction (city/county) and APN list</w:t>
            </w:r>
          </w:p>
        </w:tc>
        <w:tc>
          <w:tcPr>
            <w:tcW w:type="dxa" w:w="404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Lot/unit count and product type; SB 684 / SB 1123 status if applicable</w:t>
            </w:r>
          </w:p>
        </w:tc>
        <w:tc>
          <w:tcPr>
            <w:tcW w:type="dxa" w:w="404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Entitlement documents: tentative map approval; final map status; conditions of approval</w:t>
            </w:r>
          </w:p>
        </w:tc>
        <w:tc>
          <w:tcPr>
            <w:tcW w:type="dxa" w:w="404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Fee estimate or agency fee schedule for the project (AB 602 requires local agencies to post fee schedules online — pull and file the source)</w:t>
            </w:r>
          </w:p>
        </w:tc>
        <w:tc>
          <w:tcPr>
            <w:tcW w:type="dxa" w:w="404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Requested financing amount and use (which fees / improvements)</w:t>
            </w:r>
          </w:p>
        </w:tc>
        <w:tc>
          <w:tcPr>
            <w:tcW w:type="dxa" w:w="404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Estimated as-is market value with basis (developer estimate, listing, prior appraisal)</w:t>
            </w:r>
          </w:p>
        </w:tc>
        <w:tc>
          <w:tcPr>
            <w:tcW w:type="dxa" w:w="404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Existing debt: mortgages/deeds of trust, assessments, existing CFDs (preliminary title if available)</w:t>
            </w:r>
          </w:p>
        </w:tc>
        <w:tc>
          <w:tcPr>
            <w:tcW w:type="dxa" w:w="404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Target funding date and constraint (e.g., permit issuance date)</w:t>
            </w:r>
          </w:p>
        </w:tc>
        <w:tc>
          <w:tcPr>
            <w:tcW w:type="dxa" w:w="404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53A5B"/>
          <w:sz w:val="24"/>
          <w:szCs w:val="24"/>
        </w:rPr>
        <w:t xml:space="preserve">4.2 Preliminary sizing method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color w:val="222831"/>
          <w:sz w:val="21"/>
          <w:szCs w:val="21"/>
        </w:rPr>
        <w:t xml:space="preserve">Financeable amount F = confirmed-appearing eligible fees (+ approved improvement costs) + estimated capitalized costs of issuance and reserves per program structure.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color w:val="222831"/>
          <w:sz w:val="21"/>
          <w:szCs w:val="21"/>
        </w:rPr>
        <w:t xml:space="preserve">Debt stack D = F + all existing land-secured obligations (existing CFD/assessment principal) + any senior debt that survives closing.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color w:val="222831"/>
          <w:sz w:val="21"/>
          <w:szCs w:val="21"/>
        </w:rPr>
        <w:t xml:space="preserve">Value test: V_est ≥ 4 × D, where V_est is the screened as-is value. If 3 ≤ V_est/D &lt; 4, the file may proceed only with Principal exception noting the statutory 3:1 floor and the issuer’s policy.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color w:val="222831"/>
          <w:sz w:val="21"/>
          <w:szCs w:val="21"/>
        </w:rPr>
        <w:t xml:space="preserve">Burden test: projected annual special tax vs. issuer total-tax-burden policy (flag for RMA consultant if within 10% of the cap).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color w:val="222831"/>
          <w:sz w:val="21"/>
          <w:szCs w:val="21"/>
        </w:rPr>
        <w:t xml:space="preserve">Output: Preliminary Sizing Worksheet (INS-202.02) filed to the deal folder; numbers are labeled estimates in all developer communication.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53A5B"/>
          <w:sz w:val="24"/>
          <w:szCs w:val="24"/>
        </w:rPr>
        <w:t xml:space="preserve">4.3 Decision matrix</w:t>
      </w:r>
    </w:p>
    <w:tbl>
      <w:tblPr>
        <w:tblW w:type="dxa" w:w="9760"/>
        <w:tblBorders>
          <w:top w:val="single" w:color="DDE5EC" w:sz="4"/>
          <w:left w:val="single" w:color="DDE5EC" w:sz="4"/>
          <w:bottom w:val="single" w:color="DDE5EC" w:sz="4"/>
          <w:right w:val="single" w:color="DDE5EC" w:sz="4"/>
          <w:insideH w:val="single" w:color="DDE5EC" w:sz="4"/>
          <w:insideV w:val="single" w:color="DDE5EC" w:sz="4"/>
        </w:tblBorders>
      </w:tblPr>
      <w:tblGrid>
        <w:gridCol w:w="1750"/>
        <w:gridCol w:w="3300"/>
        <w:gridCol w:w="4710"/>
      </w:tblGrid>
      <w:tr>
        <w:trPr>
          <w:tblHeader/>
        </w:trPr>
        <w:tc>
          <w:tcPr>
            <w:tcW w:type="dxa" w:w="1750"/>
            <w:shd w:fill="153A5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Outcome</w:t>
            </w:r>
          </w:p>
        </w:tc>
        <w:tc>
          <w:tcPr>
            <w:tcW w:type="dxa" w:w="3300"/>
            <w:shd w:fill="153A5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4710"/>
            <w:shd w:fill="153A5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 &amp; communication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PASS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All §2 criteria met on screened facts</w:t>
            </w:r>
          </w:p>
        </w:tc>
        <w:tc>
          <w:tcPr>
            <w:tcW w:type="dxa" w:w="471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Issue screen-pass letter; open Stage 3 with INS-201 checklist; log state SCREENED-PASS</w:t>
            </w:r>
          </w:p>
        </w:tc>
      </w:tr>
      <w:tr>
        <w:tc>
          <w:tcPr>
            <w:tcW w:type="dxa" w:w="175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CONDITIONAL PASS</w:t>
            </w:r>
          </w:p>
        </w:tc>
        <w:tc>
          <w:tcPr>
            <w:tcW w:type="dxa" w:w="33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One criterion pending third-party confirmation (e.g., agency fee eligibility)</w:t>
            </w:r>
          </w:p>
        </w:tc>
        <w:tc>
          <w:tcPr>
            <w:tcW w:type="dxa" w:w="471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Pass letter names the condition and owner; Stage 3 may start; appraisal may not be ordered until cleared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HOLD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Jurisdiction not yet onboarded</w:t>
            </w:r>
          </w:p>
        </w:tc>
        <w:tc>
          <w:tcPr>
            <w:tcW w:type="dxa" w:w="471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Route to INS-601 pipeline; give developer a realistic onboarding timeline; revisit date set</w:t>
            </w:r>
          </w:p>
        </w:tc>
      </w:tr>
      <w:tr>
        <w:tc>
          <w:tcPr>
            <w:tcW w:type="dxa" w:w="175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FAIL</w:t>
            </w:r>
          </w:p>
        </w:tc>
        <w:tc>
          <w:tcPr>
            <w:tcW w:type="dxa" w:w="33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Any hard criterion failed (value test, ineligible costs only, title defeat)</w:t>
            </w:r>
          </w:p>
        </w:tc>
        <w:tc>
          <w:tcPr>
            <w:tcW w:type="dxa" w:w="471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Decline letter states the specific criterion; offer re-screen if facts change; log SCREENED-FAIL with reason code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53A5B"/>
          <w:sz w:val="24"/>
          <w:szCs w:val="24"/>
        </w:rPr>
        <w:t xml:space="preserve">4.4 Service levels &amp; fees</w:t>
      </w:r>
    </w:p>
    <w:p>
      <w:pPr>
        <w:spacing w:after="140" w:line="276"/>
      </w:pPr>
      <w:r>
        <w:rPr>
          <w:rFonts w:ascii="Calibri" w:cs="Calibri" w:eastAsia="Calibri" w:hAnsi="Calibri"/>
          <w:color w:val="222831"/>
          <w:sz w:val="21"/>
          <w:szCs w:val="21"/>
        </w:rPr>
        <w:t xml:space="preserve">Screen decision within 3 business days of a complete INS-202.01. The application/screening fee (INS-010 §2.5) is disclosed before submission; whether it credits at closing is a policy Open Item. No other cost is incurred by the developer before a written PASS.</w:t>
      </w:r>
    </w:p>
    <w:p>
      <w:pPr>
        <w:pStyle w:val="Heading1"/>
        <w:pBdr>
          <w:bottom w:val="single" w:color="3E7C59" w:sz="12" w:space="6"/>
        </w:pBdr>
        <w:spacing w:after="180" w:before="340"/>
      </w:pPr>
      <w:r>
        <w:rPr>
          <w:rFonts w:ascii="Calibri" w:cs="Calibri" w:eastAsia="Calibri" w:hAnsi="Calibri"/>
          <w:b/>
          <w:bCs/>
          <w:color w:val="153A5B"/>
          <w:sz w:val="30"/>
          <w:szCs w:val="30"/>
        </w:rPr>
        <w:t xml:space="preserve">SECTION 5 — RECORDS, REASON CODES &amp; FAIR DEALING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831"/>
          <w:sz w:val="21"/>
          <w:szCs w:val="21"/>
        </w:rPr>
        <w:t xml:space="preserve">Every screen — pass or fail — is retained with its worksheet and evidence for program-integrity review.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831"/>
          <w:sz w:val="21"/>
          <w:szCs w:val="21"/>
        </w:rPr>
        <w:t xml:space="preserve">Reason codes: RC-1 value test · RC-2 ineligible costs · RC-3 jurisdiction · RC-4 title/ownership · RC-5 entitlement · RC-6 burden cap · RC-7 other (memo required).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831"/>
          <w:sz w:val="21"/>
          <w:szCs w:val="21"/>
        </w:rPr>
        <w:t xml:space="preserve">Identical facts get identical outcomes: exceptions require the Principal’s written memo and appear in the monthly KPI report.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831"/>
          <w:sz w:val="21"/>
          <w:szCs w:val="21"/>
        </w:rPr>
        <w:t xml:space="preserve">No screening data is shared with purchasers or agencies except in aggregate or under the deal’s disclosure consents.</w:t>
      </w:r>
    </w:p>
    <w:tbl>
      <w:tblPr>
        <w:tblW w:type="dxa" w:w="9760"/>
        <w:tblBorders>
          <w:top w:val="single" w:color="DDE5EC" w:sz="4"/>
          <w:left w:val="single" w:color="3E7C59" w:sz="28"/>
          <w:bottom w:val="single" w:color="DDE5EC" w:sz="4"/>
          <w:right w:val="single" w:color="DDE5EC" w:sz="4"/>
          <w:insideH w:val="none"/>
          <w:insideV w:val="none"/>
        </w:tblBorders>
      </w:tblPr>
      <w:tblGrid>
        <w:gridCol w:w="9760"/>
      </w:tblGrid>
      <w:tr>
        <w:tc>
          <w:tcPr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53A5B"/>
                <w:sz w:val="20"/>
                <w:szCs w:val="20"/>
              </w:rPr>
              <w:t xml:space="preserve">CONFIRM BEFORE RELIANCE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831"/>
                <w:sz w:val="20"/>
                <w:szCs w:val="20"/>
              </w:rPr>
              <w:t xml:space="preserve">Issuer-specific policies (total tax burden caps, reimbursement windows, eligible-fee lists) control over the generic standards in §2 and must be attached to this manual as jurisdiction appendices as each agency onboards (INS-601 §5).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60" w:right="1240" w:bottom="1100" w:left="12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5EC" w:sz="4" w:space="4"/>
      </w:pBdr>
      <w:tabs>
        <w:tab w:val="right" w:pos="9760"/>
      </w:tabs>
    </w:pPr>
    <w:r>
      <w:rPr>
        <w:rFonts w:ascii="Calibri" w:cs="Calibri" w:eastAsia="Calibri" w:hAnsi="Calibri"/>
        <w:color w:val="6B7280"/>
        <w:sz w:val="15"/>
        <w:szCs w:val="15"/>
      </w:rPr>
      <w:t xml:space="preserve">HGF Management Company · Program Administrator · Confidential</w:t>
    </w:r>
    <w:r>
      <w:rPr>
        <w:sz w:val="15"/>
        <w:szCs w:val="15"/>
      </w:rPr>
      <w:t xml:space="preserve">	</w:t>
    </w:r>
    <w:r>
      <w:rPr>
        <w:rFonts w:ascii="Calibri" w:cs="Calibri" w:eastAsia="Calibri" w:hAnsi="Calibri"/>
        <w:color w:val="6B7280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5EC" w:sz="4" w:space="4"/>
      </w:pBdr>
      <w:tabs>
        <w:tab w:val="right" w:pos="9760"/>
      </w:tabs>
    </w:pPr>
    <w:r>
      <w:rPr>
        <w:rFonts w:ascii="Calibri" w:cs="Calibri" w:eastAsia="Calibri" w:hAnsi="Calibri"/>
        <w:b/>
        <w:bCs/>
        <w:color w:val="153A5B"/>
        <w:sz w:val="17"/>
        <w:szCs w:val="17"/>
      </w:rPr>
      <w:t xml:space="preserve">INSITE™</w:t>
    </w:r>
    <w:r>
      <w:rPr>
        <w:rFonts w:ascii="Calibri" w:cs="Calibri" w:eastAsia="Calibri" w:hAnsi="Calibri"/>
        <w:color w:val="6B7280"/>
        <w:sz w:val="17"/>
        <w:szCs w:val="17"/>
      </w:rPr>
      <w:t xml:space="preserve">  |  Developer Intake &amp; Eligibility</w:t>
    </w:r>
    <w:r>
      <w:rPr>
        <w:sz w:val="17"/>
        <w:szCs w:val="17"/>
      </w:rPr>
      <w:t xml:space="preserve">	</w:t>
    </w:r>
    <w:r>
      <w:rPr>
        <w:rFonts w:ascii="Calibri" w:cs="Calibri" w:eastAsia="Calibri" w:hAnsi="Calibri"/>
        <w:b/>
        <w:bCs/>
        <w:color w:val="3E7C59"/>
        <w:sz w:val="17"/>
        <w:szCs w:val="17"/>
      </w:rPr>
      <w:t xml:space="preserve">INS-202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83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53A5B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153A5B"/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3E7C59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0a63711945d47cdb0797870a2c65d7711d38cb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2026-07-10T05:16:10.637Z</dcterms:created>
  <dcterms:modified xsi:type="dcterms:W3CDTF">2026-07-10T05:16:10.637Z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