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drawing>
          <wp:inline distT="0" distB="0" distL="0" distR="0">
            <wp:extent cx="590550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500"/>
      </w:pPr>
      <w:r>
        <w:rPr>
          <w:rFonts w:ascii="Calibri" w:cs="Calibri" w:eastAsia="Calibri" w:hAnsi="Calibri"/>
          <w:b/>
          <w:bCs/>
          <w:color w:val="3E7C59"/>
          <w:sz w:val="24"/>
          <w:szCs w:val="24"/>
        </w:rPr>
        <w:t xml:space="preserve">PUBLICATION INS-401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53A5B"/>
          <w:sz w:val="52"/>
          <w:szCs w:val="52"/>
        </w:rPr>
        <w:t xml:space="preserve">TRANSACTION EXECUTION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53A5B"/>
          <w:sz w:val="52"/>
          <w:szCs w:val="52"/>
        </w:rPr>
        <w:t xml:space="preserve">MANUAL</w:t>
      </w:r>
    </w:p>
    <w:p>
      <w:pPr>
        <w:pBdr>
          <w:bottom w:val="single" w:color="3E7C59" w:sz="18" w:space="8"/>
        </w:pBdr>
        <w:spacing w:after="420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Annexation · Documentation · Recording · Closing &amp; Funding</w:t>
      </w:r>
    </w:p>
    <w:p>
      <w:pPr>
        <w:spacing w:after="140" w:line="276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Prepared by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53A5B"/>
          <w:sz w:val="24"/>
          <w:szCs w:val="24"/>
        </w:rPr>
        <w:t xml:space="preserve">HGF Management Company — Program Administrator</w:t>
      </w:r>
    </w:p>
    <w:p>
      <w:pPr>
        <w:spacing w:after="140" w:line="276"/>
      </w:pPr>
      <w:r>
        <w:rPr>
          <w:rFonts w:ascii="Calibri" w:cs="Calibri" w:eastAsia="Calibri" w:hAnsi="Calibri"/>
          <w:color w:val="222831"/>
          <w:sz w:val="20"/>
          <w:szCs w:val="20"/>
        </w:rPr>
        <w:t xml:space="preserve">INSITE™ Development Impact &amp; School Fee Financing Program</w:t>
      </w:r>
    </w:p>
    <w:p>
      <w:pPr>
        <w:spacing w:after="120" w:before="340"/>
      </w:pPr>
      <w:r>
        <w:rPr>
          <w:rFonts w:ascii="Calibri" w:cs="Calibri" w:eastAsia="Calibri" w:hAnsi="Calibri"/>
          <w:b/>
          <w:bCs/>
          <w:color w:val="153A5B"/>
          <w:sz w:val="20"/>
          <w:szCs w:val="20"/>
        </w:rPr>
        <w:t xml:space="preserve">DOCUMENT CONTROL</w:t>
      </w:r>
    </w:p>
    <w:tbl>
      <w:tblPr>
        <w:tblW w:type="dxa" w:w="9760"/>
        <w:tblBorders>
          <w:top w:val="single" w:color="DDE5EC" w:sz="4"/>
          <w:left w:val="single" w:color="DDE5EC" w:sz="4"/>
          <w:bottom w:val="single" w:color="DDE5EC" w:sz="4"/>
          <w:right w:val="single" w:color="DDE5EC" w:sz="4"/>
          <w:insideH w:val="single" w:color="DDE5EC" w:sz="4"/>
          <w:insideV w:val="single" w:color="DDE5EC" w:sz="4"/>
        </w:tblBorders>
      </w:tblPr>
      <w:tblGrid>
        <w:gridCol w:w="2600"/>
        <w:gridCol w:w="7160"/>
      </w:tblGrid>
      <w:tr>
        <w:tc>
          <w:tcPr>
            <w:tcW w:type="dxa" w:w="26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Publication number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INS-401</w:t>
            </w:r>
          </w:p>
        </w:tc>
      </w:tr>
      <w:tr>
        <w:tc>
          <w:tcPr>
            <w:tcW w:type="dxa" w:w="26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Version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1.0 (Draft)</w:t>
            </w:r>
          </w:p>
        </w:tc>
      </w:tr>
      <w:tr>
        <w:tc>
          <w:tcPr>
            <w:tcW w:type="dxa" w:w="26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Status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Draft for founder &amp; bond counsel review</w:t>
            </w:r>
          </w:p>
        </w:tc>
      </w:tr>
      <w:tr>
        <w:tc>
          <w:tcPr>
            <w:tcW w:type="dxa" w:w="26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Publication date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July 2026</w:t>
            </w:r>
          </w:p>
        </w:tc>
      </w:tr>
      <w:tr>
        <w:tc>
          <w:tcPr>
            <w:tcW w:type="dxa" w:w="26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Owner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INSITE Program Administration</w:t>
            </w:r>
          </w:p>
        </w:tc>
      </w:tr>
      <w:tr>
        <w:tc>
          <w:tcPr>
            <w:tcW w:type="dxa" w:w="26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Internal — Confidential</w:t>
            </w:r>
          </w:p>
        </w:tc>
      </w:tr>
    </w:tbl>
    <w:p>
      <w:pPr>
        <w:spacing w:before="300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Pre-launch program document. INSITE is a proposed program of HGF Management Company. Nothing herein is an offer or commitment of financing, legal, tax, or investment advice, or a securities solicitation. Program structure, eligibility, pricing, and availability are subject to public issuer approval, bond counsel review, and market conditions.</w:t>
      </w:r>
    </w:p>
    <w:p>
      <w:r>
        <w:br w:type="page"/>
      </w:r>
    </w:p>
    <w:p>
      <w:pPr>
        <w:pStyle w:val="Heading1"/>
        <w:pBdr>
          <w:bottom w:val="single" w:color="3E7C59" w:sz="12" w:space="6"/>
        </w:pBdr>
        <w:spacing w:after="180" w:before="340"/>
      </w:pPr>
      <w:r>
        <w:rPr>
          <w:rFonts w:ascii="Calibri" w:cs="Calibri" w:eastAsia="Calibri" w:hAnsi="Calibri"/>
          <w:b/>
          <w:bCs/>
          <w:color w:val="153A5B"/>
          <w:sz w:val="30"/>
          <w:szCs w:val="30"/>
        </w:rPr>
        <w:t xml:space="preserve">SECTION 1 — PURPOSE &amp; PRECONDITIONS</w:t>
      </w:r>
    </w:p>
    <w:p>
      <w:pPr>
        <w:spacing w:after="140" w:line="276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INS-401 governs Stages 6–7: turning an approved credit into a recorded lien and a funded transaction. It is written to be executed with bond counsel; every legal instrument named here is a counsel-controlled template, and this manual controls sequence, evidence, and quality gates — not legal sufficiency.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53A5B"/>
          <w:sz w:val="24"/>
          <w:szCs w:val="24"/>
        </w:rPr>
        <w:t xml:space="preserve">1.1 Entry conditions (all required)</w:t>
      </w:r>
    </w:p>
    <w:tbl>
      <w:tblPr>
        <w:tblW w:type="dxa" w:w="9760"/>
        <w:tblBorders>
          <w:top w:val="single" w:color="DDE5EC" w:sz="4"/>
          <w:left w:val="single" w:color="DDE5EC" w:sz="4"/>
          <w:bottom w:val="single" w:color="DDE5EC" w:sz="4"/>
          <w:right w:val="single" w:color="DDE5EC" w:sz="4"/>
          <w:insideH w:val="single" w:color="DDE5EC" w:sz="4"/>
          <w:insideV w:val="single" w:color="DDE5EC" w:sz="4"/>
        </w:tblBorders>
      </w:tblPr>
      <w:tblGrid>
        <w:gridCol w:w="520"/>
        <w:gridCol w:w="5200"/>
        <w:gridCol w:w="4040"/>
      </w:tblGrid>
      <w:tr>
        <w:trPr>
          <w:tblHeader/>
        </w:trPr>
        <w:tc>
          <w:tcPr>
            <w:tcW w:type="dxa" w:w="520"/>
            <w:shd w:fill="15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200"/>
            <w:shd w:fill="15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 item</w:t>
            </w:r>
          </w:p>
        </w:tc>
        <w:tc>
          <w:tcPr>
            <w:tcW w:type="dxa" w:w="4040"/>
            <w:shd w:fill="15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 / status</w:t>
            </w:r>
          </w:p>
        </w:tc>
      </w:tr>
      <w:t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Written underwriting approval memo (INS-301) with conditions listed and cleared or scheduled</w:t>
            </w:r>
          </w:p>
        </w:tc>
        <w:tc>
          <w:tcPr>
            <w:tcW w:type="dxa" w:w="404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Final INS-101-conforming appraisal on file; 4:1 program test computed and passing (3:1 statutory floor noted)</w:t>
            </w:r>
          </w:p>
        </w:tc>
        <w:tc>
          <w:tcPr>
            <w:tcW w:type="dxa" w:w="404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Issuer written confirmation that the specific fees/improvements are program-eligible</w:t>
            </w:r>
          </w:p>
        </w:tc>
        <w:tc>
          <w:tcPr>
            <w:tcW w:type="dxa" w:w="404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Preliminary title report current within issuer policy; all owners identified</w:t>
            </w:r>
          </w:p>
        </w:tc>
        <w:tc>
          <w:tcPr>
            <w:tcW w:type="dxa" w:w="404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Purchaser indication or commitment consistent with deal size and structure</w:t>
            </w:r>
          </w:p>
        </w:tc>
        <w:tc>
          <w:tcPr>
            <w:tcW w:type="dxa" w:w="404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Deal folder complete per INS-201 with developer certification</w:t>
            </w:r>
          </w:p>
        </w:tc>
        <w:tc>
          <w:tcPr>
            <w:tcW w:type="dxa" w:w="404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3E7C59" w:sz="12" w:space="6"/>
        </w:pBdr>
        <w:spacing w:after="180" w:before="340"/>
      </w:pPr>
      <w:r>
        <w:rPr>
          <w:rFonts w:ascii="Calibri" w:cs="Calibri" w:eastAsia="Calibri" w:hAnsi="Calibri"/>
          <w:b/>
          <w:bCs/>
          <w:color w:val="153A5B"/>
          <w:sz w:val="30"/>
          <w:szCs w:val="30"/>
        </w:rPr>
        <w:t xml:space="preserve">SECTION 2 — THE ANNEXATION MODEL</w:t>
      </w:r>
    </w:p>
    <w:p>
      <w:pPr>
        <w:spacing w:after="140" w:line="276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Each participating jurisdiction hosts one INSITE-administered CFD with a designated future annexation area. Individual projects join by annexation rather than by forming new districts — the structural choice that spreads formation cost across many transactions and makes small balances economical. Formation of the host CFD (a one-time event per issuer) follows the Mello-Roos Act process summarized in the California Debt Financing Guide: local goals and policies (including adopted appraisal standards), resolution of intention, hearing, landowner election where applicable, and recording of the notice of special tax lien.</w:t>
      </w:r>
    </w:p>
    <w:tbl>
      <w:tblPr>
        <w:tblW w:type="dxa" w:w="9760"/>
        <w:tblBorders>
          <w:top w:val="single" w:color="DDE5EC" w:sz="4"/>
          <w:left w:val="single" w:color="3E7C59" w:sz="28"/>
          <w:bottom w:val="single" w:color="DDE5EC" w:sz="4"/>
          <w:right w:val="single" w:color="DDE5EC" w:sz="4"/>
          <w:insideH w:val="none"/>
          <w:insideV w:val="none"/>
        </w:tblBorders>
      </w:tblPr>
      <w:tblGrid>
        <w:gridCol w:w="9760"/>
      </w:tblGrid>
      <w:tr>
        <w:tc>
          <w:tcPr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53A5B"/>
                <w:sz w:val="20"/>
                <w:szCs w:val="20"/>
              </w:rPr>
              <w:t xml:space="preserve">CONFIRM BEFORE RELIANCE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831"/>
                <w:sz w:val="20"/>
                <w:szCs w:val="20"/>
              </w:rPr>
              <w:t xml:space="preserve">Annexation mechanics — including unanimous-approval procedures for territory proposed for annexation, election waivers, and the form of the amended notice of special tax lien — are prescribed by the Act and implemented by bond counsel. This manual intentionally does not restate statutory steps; counsel’s closing memorandum for the first transaction becomes Appendix 401-A and controls thereafter. Confirm with counsel: annexation article procedures, recording requirements, and any county-recorder formatting rules.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53A5B"/>
          <w:sz w:val="24"/>
          <w:szCs w:val="24"/>
        </w:rPr>
        <w:t xml:space="preserve">2.1 Standard annexation document set (counsel-controlled)</w:t>
      </w:r>
    </w:p>
    <w:tbl>
      <w:tblPr>
        <w:tblW w:type="dxa" w:w="9760"/>
        <w:tblBorders>
          <w:top w:val="single" w:color="DDE5EC" w:sz="4"/>
          <w:left w:val="single" w:color="DDE5EC" w:sz="4"/>
          <w:bottom w:val="single" w:color="DDE5EC" w:sz="4"/>
          <w:right w:val="single" w:color="DDE5EC" w:sz="4"/>
          <w:insideH w:val="single" w:color="DDE5EC" w:sz="4"/>
          <w:insideV w:val="single" w:color="DDE5EC" w:sz="4"/>
        </w:tblBorders>
      </w:tblPr>
      <w:tblGrid>
        <w:gridCol w:w="900"/>
        <w:gridCol w:w="4250"/>
        <w:gridCol w:w="2500"/>
        <w:gridCol w:w="2110"/>
      </w:tblGrid>
      <w:tr>
        <w:trPr>
          <w:tblHeader/>
        </w:trPr>
        <w:tc>
          <w:tcPr>
            <w:tcW w:type="dxa" w:w="900"/>
            <w:shd w:fill="15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</w:t>
            </w:r>
          </w:p>
        </w:tc>
        <w:tc>
          <w:tcPr>
            <w:tcW w:type="dxa" w:w="4250"/>
            <w:shd w:fill="15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Instrument</w:t>
            </w:r>
          </w:p>
        </w:tc>
        <w:tc>
          <w:tcPr>
            <w:tcW w:type="dxa" w:w="2500"/>
            <w:shd w:fill="15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Signer(s)</w:t>
            </w:r>
          </w:p>
        </w:tc>
        <w:tc>
          <w:tcPr>
            <w:tcW w:type="dxa" w:w="2110"/>
            <w:shd w:fill="15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Filed / recorded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401.D1</w:t>
            </w:r>
          </w:p>
        </w:tc>
        <w:tc>
          <w:tcPr>
            <w:tcW w:type="dxa" w:w="4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Petition / consent and waiver of owner(s) of territory to be annexed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All record owners</w:t>
            </w:r>
          </w:p>
        </w:tc>
        <w:tc>
          <w:tcPr>
            <w:tcW w:type="dxa" w:w="21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Issuer file</w:t>
            </w:r>
          </w:p>
        </w:tc>
      </w:tr>
      <w:tr>
        <w:tc>
          <w:tcPr>
            <w:tcW w:type="dxa" w:w="9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401.D2</w:t>
            </w:r>
          </w:p>
        </w:tc>
        <w:tc>
          <w:tcPr>
            <w:tcW w:type="dxa" w:w="425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Unanimous approval / landowner ballot materials (as applicable)</w:t>
            </w:r>
          </w:p>
        </w:tc>
        <w:tc>
          <w:tcPr>
            <w:tcW w:type="dxa" w:w="25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Owners; Issuer officer</w:t>
            </w:r>
          </w:p>
        </w:tc>
        <w:tc>
          <w:tcPr>
            <w:tcW w:type="dxa" w:w="211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Issuer file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401.D3</w:t>
            </w:r>
          </w:p>
        </w:tc>
        <w:tc>
          <w:tcPr>
            <w:tcW w:type="dxa" w:w="4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Rate and Method of Apportionment exhibit for the annexed territory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RMA consultant certification</w:t>
            </w:r>
          </w:p>
        </w:tc>
        <w:tc>
          <w:tcPr>
            <w:tcW w:type="dxa" w:w="21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Attached to D2/D4</w:t>
            </w:r>
          </w:p>
        </w:tc>
      </w:tr>
      <w:tr>
        <w:tc>
          <w:tcPr>
            <w:tcW w:type="dxa" w:w="9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401.D4</w:t>
            </w:r>
          </w:p>
        </w:tc>
        <w:tc>
          <w:tcPr>
            <w:tcW w:type="dxa" w:w="425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Amendment to Notice of Special Tax Lien</w:t>
            </w:r>
          </w:p>
        </w:tc>
        <w:tc>
          <w:tcPr>
            <w:tcW w:type="dxa" w:w="25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Issuer officer</w:t>
            </w:r>
          </w:p>
        </w:tc>
        <w:tc>
          <w:tcPr>
            <w:tcW w:type="dxa" w:w="211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County Recorder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401.D5</w:t>
            </w:r>
          </w:p>
        </w:tc>
        <w:tc>
          <w:tcPr>
            <w:tcW w:type="dxa" w:w="4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Financing / acquisition &amp; fee-payment agreement (developer · issuer · administrator)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All parties</w:t>
            </w:r>
          </w:p>
        </w:tc>
        <w:tc>
          <w:tcPr>
            <w:tcW w:type="dxa" w:w="21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Deal file</w:t>
            </w:r>
          </w:p>
        </w:tc>
      </w:tr>
      <w:tr>
        <w:tc>
          <w:tcPr>
            <w:tcW w:type="dxa" w:w="9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401.D6</w:t>
            </w:r>
          </w:p>
        </w:tc>
        <w:tc>
          <w:tcPr>
            <w:tcW w:type="dxa" w:w="425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Note purchase agreement &amp; note (private placement)</w:t>
            </w:r>
          </w:p>
        </w:tc>
        <w:tc>
          <w:tcPr>
            <w:tcW w:type="dxa" w:w="25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Issuer; Purchaser</w:t>
            </w:r>
          </w:p>
        </w:tc>
        <w:tc>
          <w:tcPr>
            <w:tcW w:type="dxa" w:w="211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Deal file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401.D7</w:t>
            </w:r>
          </w:p>
        </w:tc>
        <w:tc>
          <w:tcPr>
            <w:tcW w:type="dxa" w:w="4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Closing certificate &amp; instruction letter; counsel opinion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Counsel; parties</w:t>
            </w:r>
          </w:p>
        </w:tc>
        <w:tc>
          <w:tcPr>
            <w:tcW w:type="dxa" w:w="21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Deal file</w:t>
            </w:r>
          </w:p>
        </w:tc>
      </w:tr>
    </w:tbl>
    <w:p>
      <w:pPr>
        <w:pStyle w:val="Heading1"/>
        <w:pBdr>
          <w:bottom w:val="single" w:color="3E7C59" w:sz="12" w:space="6"/>
        </w:pBdr>
        <w:spacing w:after="180" w:before="340"/>
      </w:pPr>
      <w:r>
        <w:rPr>
          <w:rFonts w:ascii="Calibri" w:cs="Calibri" w:eastAsia="Calibri" w:hAnsi="Calibri"/>
          <w:b/>
          <w:bCs/>
          <w:color w:val="153A5B"/>
          <w:sz w:val="30"/>
          <w:szCs w:val="30"/>
        </w:rPr>
        <w:t xml:space="preserve">SECTION 3 — EXECUTION WORKFLOW (STAGE 6)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Kickoff: Operations Lead opens the closing checklist (INS-401.01), circulates the working-group list (developer, counsel, RMA consultant, issuer contact, purchaser, title), and sets the target closing date.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Data lock: APN list, legal description, owner vesting, and fee amounts frozen against the title report and agency fee confirmation; any change re-opens underwriting review of the 4:1 test.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RMA exhibit: consultant produces the annexation tax exhibit; Operations verifies lot count, land-use classes, and maximum tax against the sizing worksheet (maker/checker).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Document assembly: bracketed fields only; no template edits without counsel email approval saved to file.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Signatures: owners’ consents notarized as required; issuer officer execution per its authorizing resolution.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Recording: D4 amendment to notice of special tax lien recorded; conformed copy with recorder stamp saved to file. NO FUNDING BEFORE CONFIRMED RECORDING.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Pre-closing call: checklist read-down with counsel and purchaser; conditions confirmed cleared.</w:t>
      </w:r>
    </w:p>
    <w:p>
      <w:pPr>
        <w:pStyle w:val="Heading1"/>
        <w:pBdr>
          <w:bottom w:val="single" w:color="3E7C59" w:sz="12" w:space="6"/>
        </w:pBdr>
        <w:spacing w:after="180" w:before="340"/>
      </w:pPr>
      <w:r>
        <w:rPr>
          <w:rFonts w:ascii="Calibri" w:cs="Calibri" w:eastAsia="Calibri" w:hAnsi="Calibri"/>
          <w:b/>
          <w:bCs/>
          <w:color w:val="153A5B"/>
          <w:sz w:val="30"/>
          <w:szCs w:val="30"/>
        </w:rPr>
        <w:t xml:space="preserve">SECTION 4 — CLOSING &amp; FUNDING (STAGE 7)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53A5B"/>
          <w:sz w:val="24"/>
          <w:szCs w:val="24"/>
        </w:rPr>
        <w:t xml:space="preserve">4.1 Flow of funds</w:t>
      </w:r>
    </w:p>
    <w:p>
      <w:pPr>
        <w:spacing w:after="140" w:line="276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Purchaser funds the note purchase price to the fiscal agent / designated account → costs of issuance paid per the closing memorandum → eligible fees paid directly to the agency on the developer’s behalf (or developer reimbursed per the issuer’s confirmed reimbursement procedure) → any reserve funded → remainder, if any, per the financing agreement. The developer never routes program funds through its own accounts except in a documented reimbursement structure.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53A5B"/>
          <w:sz w:val="24"/>
          <w:szCs w:val="24"/>
        </w:rPr>
        <w:t xml:space="preserve">4.2 Closing checklist INS-401.01 (summary form)</w:t>
      </w:r>
    </w:p>
    <w:tbl>
      <w:tblPr>
        <w:tblW w:type="dxa" w:w="9760"/>
        <w:tblBorders>
          <w:top w:val="single" w:color="DDE5EC" w:sz="4"/>
          <w:left w:val="single" w:color="DDE5EC" w:sz="4"/>
          <w:bottom w:val="single" w:color="DDE5EC" w:sz="4"/>
          <w:right w:val="single" w:color="DDE5EC" w:sz="4"/>
          <w:insideH w:val="single" w:color="DDE5EC" w:sz="4"/>
          <w:insideV w:val="single" w:color="DDE5EC" w:sz="4"/>
        </w:tblBorders>
      </w:tblPr>
      <w:tblGrid>
        <w:gridCol w:w="520"/>
        <w:gridCol w:w="5200"/>
        <w:gridCol w:w="4040"/>
      </w:tblGrid>
      <w:tr>
        <w:trPr>
          <w:tblHeader/>
        </w:trPr>
        <w:tc>
          <w:tcPr>
            <w:tcW w:type="dxa" w:w="520"/>
            <w:shd w:fill="15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200"/>
            <w:shd w:fill="15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 item</w:t>
            </w:r>
          </w:p>
        </w:tc>
        <w:tc>
          <w:tcPr>
            <w:tcW w:type="dxa" w:w="4040"/>
            <w:shd w:fill="15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 / status</w:t>
            </w:r>
          </w:p>
        </w:tc>
      </w:tr>
      <w:t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All D1–D7 executed; notarizations verified</w:t>
            </w:r>
          </w:p>
        </w:tc>
        <w:tc>
          <w:tcPr>
            <w:tcW w:type="dxa" w:w="404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D4 recorded — conformed copy in file (date, instrument number logged)</w:t>
            </w:r>
          </w:p>
        </w:tc>
        <w:tc>
          <w:tcPr>
            <w:tcW w:type="dxa" w:w="404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Title date-down: no new liens; taxes current</w:t>
            </w:r>
          </w:p>
        </w:tc>
        <w:tc>
          <w:tcPr>
            <w:tcW w:type="dxa" w:w="404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Agency payment instructions verified by call-back to a known number (wire-fraud control)</w:t>
            </w:r>
          </w:p>
        </w:tc>
        <w:tc>
          <w:tcPr>
            <w:tcW w:type="dxa" w:w="404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Purchaser funding confirmation received</w:t>
            </w:r>
          </w:p>
        </w:tc>
        <w:tc>
          <w:tcPr>
            <w:tcW w:type="dxa" w:w="404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Fees paid / reimbursement executed; agency receipt in file</w:t>
            </w:r>
          </w:p>
        </w:tc>
        <w:tc>
          <w:tcPr>
            <w:tcW w:type="dxa" w:w="404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Funding authorization signed by Principal</w:t>
            </w:r>
          </w:p>
        </w:tc>
        <w:tc>
          <w:tcPr>
            <w:tcW w:type="dxa" w:w="404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Levy-system record created: APNs, RMA class, principal, first levy year (maker/checker) — Gate 7→8</w:t>
            </w:r>
          </w:p>
        </w:tc>
        <w:tc>
          <w:tcPr>
            <w:tcW w:type="dxa" w:w="404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Welcome package sent to developer: recorded lien copy, tax expectations, prepayment rights, contacts</w:t>
            </w:r>
          </w:p>
        </w:tc>
        <w:tc>
          <w:tcPr>
            <w:tcW w:type="dxa" w:w="404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CDIAC / state reporting task opened with counsel (Gov. Code § 8855 — confirm applicability and timing)</w:t>
            </w:r>
          </w:p>
        </w:tc>
        <w:tc>
          <w:tcPr>
            <w:tcW w:type="dxa" w:w="404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53A5B"/>
          <w:sz w:val="24"/>
          <w:szCs w:val="24"/>
        </w:rPr>
        <w:t xml:space="preserve">4.3 Post-closing file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Deal file indexed to the INS-201 folder structure plus a CLOSING folder holding D1–D7, recording confirmation, funding evidence, and the final sizing worksheet.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Portfolio register updated same day; investor data room updated within 5 business days.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Lessons-learned note (≤ 1 page) filed for any gate that required rework — feeds manual revisions.</w:t>
      </w:r>
    </w:p>
    <w:tbl>
      <w:tblPr>
        <w:tblW w:type="dxa" w:w="9760"/>
        <w:tblBorders>
          <w:top w:val="single" w:color="DDE5EC" w:sz="4"/>
          <w:left w:val="single" w:color="3E7C59" w:sz="28"/>
          <w:bottom w:val="single" w:color="DDE5EC" w:sz="4"/>
          <w:right w:val="single" w:color="DDE5EC" w:sz="4"/>
          <w:insideH w:val="none"/>
          <w:insideV w:val="none"/>
        </w:tblBorders>
      </w:tblPr>
      <w:tblGrid>
        <w:gridCol w:w="9760"/>
      </w:tblGrid>
      <w:tr>
        <w:tc>
          <w:tcPr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53A5B"/>
                <w:sz w:val="20"/>
                <w:szCs w:val="20"/>
              </w:rPr>
              <w:t xml:space="preserve">Hard rule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831"/>
                <w:sz w:val="20"/>
                <w:szCs w:val="20"/>
              </w:rPr>
              <w:t xml:space="preserve">If any element of the debt stack, APN list, or fee amount changes after underwriting approval, Stage 6 pauses and the file returns to INS-301 for a delta review. Speed never overrides the 4:1 recomputation.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60" w:right="1240" w:bottom="110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5EC" w:sz="4" w:space="4"/>
      </w:pBdr>
      <w:tabs>
        <w:tab w:val="right" w:pos="9760"/>
      </w:tabs>
    </w:pPr>
    <w:r>
      <w:rPr>
        <w:rFonts w:ascii="Calibri" w:cs="Calibri" w:eastAsia="Calibri" w:hAnsi="Calibri"/>
        <w:color w:val="6B7280"/>
        <w:sz w:val="15"/>
        <w:szCs w:val="15"/>
      </w:rPr>
      <w:t xml:space="preserve">HGF Management Company · Program Administrator · Confidential</w:t>
    </w:r>
    <w:r>
      <w:rPr>
        <w:sz w:val="15"/>
        <w:szCs w:val="15"/>
      </w:rPr>
      <w:t xml:space="preserve">	</w:t>
    </w:r>
    <w:r>
      <w:rPr>
        <w:rFonts w:ascii="Calibri" w:cs="Calibri" w:eastAsia="Calibri" w:hAnsi="Calibri"/>
        <w:color w:val="6B7280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5EC" w:sz="4" w:space="4"/>
      </w:pBdr>
      <w:tabs>
        <w:tab w:val="right" w:pos="9760"/>
      </w:tabs>
    </w:pPr>
    <w:r>
      <w:rPr>
        <w:rFonts w:ascii="Calibri" w:cs="Calibri" w:eastAsia="Calibri" w:hAnsi="Calibri"/>
        <w:b/>
        <w:bCs/>
        <w:color w:val="153A5B"/>
        <w:sz w:val="17"/>
        <w:szCs w:val="17"/>
      </w:rPr>
      <w:t xml:space="preserve">INSITE™</w:t>
    </w:r>
    <w:r>
      <w:rPr>
        <w:rFonts w:ascii="Calibri" w:cs="Calibri" w:eastAsia="Calibri" w:hAnsi="Calibri"/>
        <w:color w:val="6B7280"/>
        <w:sz w:val="17"/>
        <w:szCs w:val="17"/>
      </w:rPr>
      <w:t xml:space="preserve">  |  Transaction Execution</w:t>
    </w:r>
    <w:r>
      <w:rPr>
        <w:sz w:val="17"/>
        <w:szCs w:val="17"/>
      </w:rPr>
      <w:t xml:space="preserve">	</w:t>
    </w:r>
    <w:r>
      <w:rPr>
        <w:rFonts w:ascii="Calibri" w:cs="Calibri" w:eastAsia="Calibri" w:hAnsi="Calibri"/>
        <w:b/>
        <w:bCs/>
        <w:color w:val="3E7C59"/>
        <w:sz w:val="17"/>
        <w:szCs w:val="17"/>
      </w:rPr>
      <w:t xml:space="preserve">INS-401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53A5B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53A5B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3E7C5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0a63711945d47cdb0797870a2c65d7711d38cb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2026-07-10T05:16:10.738Z</dcterms:created>
  <dcterms:modified xsi:type="dcterms:W3CDTF">2026-07-10T05:16:10.738Z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