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drawing>
          <wp:inline distT="0" distB="0" distL="0" distR="0">
            <wp:extent cx="5905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500"/>
      </w:pPr>
      <w:r>
        <w:rPr>
          <w:rFonts w:ascii="Calibri" w:cs="Calibri" w:eastAsia="Calibri" w:hAnsi="Calibri"/>
          <w:b/>
          <w:bCs/>
          <w:color w:val="3E7C59"/>
          <w:sz w:val="24"/>
          <w:szCs w:val="24"/>
        </w:rPr>
        <w:t xml:space="preserve">PUBLICATION INS-501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53A5B"/>
          <w:sz w:val="52"/>
          <w:szCs w:val="52"/>
        </w:rPr>
        <w:t xml:space="preserve">ANNUAL ADMINISTRATION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53A5B"/>
          <w:sz w:val="52"/>
          <w:szCs w:val="52"/>
        </w:rPr>
        <w:t xml:space="preserve">&amp; TAX ROLL MANUAL</w:t>
      </w:r>
    </w:p>
    <w:p>
      <w:pPr>
        <w:pBdr>
          <w:bottom w:val="single" w:color="3E7C59" w:sz="18" w:space="8"/>
        </w:pBdr>
        <w:spacing w:after="42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Levy Calculation · County Submission · Collections · Delinquency · Prepayment · Reporting</w:t>
      </w:r>
    </w:p>
    <w:p>
      <w:pPr>
        <w:spacing w:after="140" w:line="276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by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HGF Management Company — Program Administrator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0"/>
          <w:szCs w:val="20"/>
        </w:rPr>
        <w:t xml:space="preserve">INSITE™ Development Impact &amp; School Fee Financing Program</w:t>
      </w:r>
    </w:p>
    <w:p>
      <w:pPr>
        <w:spacing w:after="120" w:before="340"/>
      </w:pPr>
      <w:r>
        <w:rPr>
          <w:rFonts w:ascii="Calibri" w:cs="Calibri" w:eastAsia="Calibri" w:hAnsi="Calibri"/>
          <w:b/>
          <w:bCs/>
          <w:color w:val="153A5B"/>
          <w:sz w:val="20"/>
          <w:szCs w:val="20"/>
        </w:rPr>
        <w:t xml:space="preserve">DOCUMENT CONTROL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600"/>
        <w:gridCol w:w="7160"/>
      </w:tblGrid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Publication number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INS-501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Status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Draft for founder &amp; TRA review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Publication date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July 2026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Owner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INSITE Program Administration</w:t>
            </w:r>
          </w:p>
        </w:tc>
      </w:tr>
      <w:tr>
        <w:tc>
          <w:tcPr>
            <w:tcW w:type="dxa" w:w="26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83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Internal — Confidential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Pre-launch program document. INSITE is a proposed program of HGF Management Company. Nothing herein is an offer or commitment of financing, legal, tax, or investment advice, or a securities solicitation. Program structure, eligibility, pricing, and availability are subject to public issuer approval, bond counsel review, and market conditions.</w:t>
      </w:r>
    </w:p>
    <w:p>
      <w:r>
        <w:br w:type="page"/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1 — PURPOSE, ROLES &amp; THE ANNUAL CYCLE</w:t>
      </w:r>
    </w:p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INS-501 governs Stage 8 — the recurring machinery that makes INSITE a platform instead of a series of one-off deals. The special tax lives for decades; this manual defines the annual cycle that keeps every parcel correctly levied, every dollar reconciled, every delinquency escalated on covenant, and every stakeholder informed.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1.1 Division of labor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3200"/>
        <w:gridCol w:w="3300"/>
        <w:gridCol w:w="3260"/>
      </w:tblGrid>
      <w:tr>
        <w:trPr>
          <w:tblHeader/>
        </w:trPr>
        <w:tc>
          <w:tcPr>
            <w:tcW w:type="dxa" w:w="32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3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Tax Roll Administrator (subcontract)</w:t>
            </w:r>
          </w:p>
        </w:tc>
        <w:tc>
          <w:tcPr>
            <w:tcW w:type="dxa" w:w="326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INSITE Operations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Levy calculation per RMA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 — computes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 — approves; maker/checker sample</w:t>
            </w:r>
          </w:p>
        </w:tc>
      </w:tr>
      <w:tr>
        <w:tc>
          <w:tcPr>
            <w:tcW w:type="dxa" w:w="3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County direct-charge file &amp; submission</w:t>
            </w:r>
          </w:p>
        </w:tc>
        <w:tc>
          <w:tcPr>
            <w:tcW w:type="dxa" w:w="3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</w:t>
            </w:r>
          </w:p>
        </w:tc>
        <w:tc>
          <w:tcPr>
            <w:tcW w:type="dxa" w:w="32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 — verifies confirmation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Collections reconciliation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 — reviews; investigates variances</w:t>
            </w:r>
          </w:p>
        </w:tc>
      </w:tr>
      <w:tr>
        <w:tc>
          <w:tcPr>
            <w:tcW w:type="dxa" w:w="3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Delinquency identification</w:t>
            </w:r>
          </w:p>
        </w:tc>
        <w:tc>
          <w:tcPr>
            <w:tcW w:type="dxa" w:w="3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 — flags after each installment</w:t>
            </w:r>
          </w:p>
        </w:tc>
        <w:tc>
          <w:tcPr>
            <w:tcW w:type="dxa" w:w="32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 — runs escalation ladder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Prepayment calculations &amp; payoff letters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 — computes per RMA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 — issues; orders lien release</w:t>
            </w:r>
          </w:p>
        </w:tc>
      </w:tr>
      <w:tr>
        <w:tc>
          <w:tcPr>
            <w:tcW w:type="dxa" w:w="32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Investor &amp; issuer reporting</w:t>
            </w:r>
          </w:p>
        </w:tc>
        <w:tc>
          <w:tcPr>
            <w:tcW w:type="dxa" w:w="3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 — data</w:t>
            </w:r>
          </w:p>
        </w:tc>
        <w:tc>
          <w:tcPr>
            <w:tcW w:type="dxa" w:w="32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R/A — assembles and issues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1.2 Annual cycle at a glance (fiscal year July 1 – June 30)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300"/>
        <w:gridCol w:w="7460"/>
      </w:tblGrid>
      <w:tr>
        <w:trPr>
          <w:tblHeader/>
        </w:trPr>
        <w:tc>
          <w:tcPr>
            <w:tcW w:type="dxa" w:w="23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746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July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Parcel-change sweep: recorded maps, ownership transfers, completed prepayments; levy database frozen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July → county deadline</w:t>
            </w:r>
          </w:p>
        </w:tc>
        <w:tc>
          <w:tcPr>
            <w:tcW w:type="dxa" w:w="7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Levy computed per RMA; QC; county direct-charge file submitted in county format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August–September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County acceptance confirmation reconciled line-by-line to the computed levy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November → tax bills</w:t>
            </w:r>
          </w:p>
        </w:tc>
        <w:tc>
          <w:tcPr>
            <w:tcW w:type="dxa" w:w="7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Property tax bills issued by county include the INSITE special tax as a direct charge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After each installment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Collections reconciled; delinquency list produced; escalation ladder starts</w:t>
            </w:r>
          </w:p>
        </w:tc>
      </w:tr>
      <w:tr>
        <w:tc>
          <w:tcPr>
            <w:tcW w:type="dxa" w:w="2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January</w:t>
            </w:r>
          </w:p>
        </w:tc>
        <w:tc>
          <w:tcPr>
            <w:tcW w:type="dxa" w:w="74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Annual investor reporting package (prior calendar year) issued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Rolling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Prepayment quotes (SLA below), estoppels, data requests</w:t>
            </w:r>
          </w:p>
        </w:tc>
      </w:tr>
    </w:tbl>
    <w:tbl>
      <w:tblPr>
        <w:tblW w:type="dxa" w:w="9760"/>
        <w:tblBorders>
          <w:top w:val="single" w:color="DDE5EC" w:sz="4"/>
          <w:left w:val="single" w:color="3E7C59" w:sz="28"/>
          <w:bottom w:val="single" w:color="DDE5EC" w:sz="4"/>
          <w:right w:val="single" w:color="DDE5EC" w:sz="4"/>
          <w:insideH w:val="none"/>
          <w:insideV w:val="none"/>
        </w:tblBorders>
      </w:tblPr>
      <w:tblGrid>
        <w:gridCol w:w="9760"/>
      </w:tblGrid>
      <w:tr>
        <w:tc>
          <w:tcPr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3A5B"/>
                <w:sz w:val="20"/>
                <w:szCs w:val="20"/>
              </w:rPr>
              <w:t xml:space="preserve">CONFIRM BEFORE RELIANCE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County submission deadlines, file formats, direct-charge codes, and installment/delinquency dates were NOT independently verified this release and vary by county. Before the first levy year, obtain in writing from each county Auditor-Controller: (1) the direct-charge calendar; (2) the file specification; (3) the fund/charge code assignment. File these as Appendix 501-A per county.</w:t>
            </w:r>
          </w:p>
        </w:tc>
      </w:tr>
    </w:tbl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2 — THE LEVY DATABASE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One row per APN: county, TRA/charge code, RMA land-use class, original principal allocation, outstanding principal, current-year special tax, status (active / prepaid / delinquent), and deal ID linking to the closing file.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Changes enter only from four sources: a closing (INS-401 Gate 7→8), a recorded parcel change, a prepayment completion, or an annual RMA escalation — each with a document reference.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INSITE holds a read-only mirror of the TRA’s database, reconciled quarterly; any mismatch is an incident with a written root cause.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3 — LEVY CALCULATION &amp; COUNTY SUBMISSION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Compute each parcel’s annual special tax exactly per the recorded RMA (base tax, escalator if any, administrative-expense component).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Maker/checker: a second person independently recomputes a sample (100% of parcels while the portfolio is under 500 parcels; thereafter a documented sampling plan) and signs the levy certificate.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Generate the county file in the county’s specification; validate APN formats against the assessor roll; reject-and-fix any unmatched parcel BEFORE submission.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Submit by the county deadline; obtain and file the county’s acceptance/confirmation.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Reconcile the county-confirmed charge list to the computed levy line-by-line; zero unexplained variances is the only passing result.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Issue the annual levy report to the Issuer (and purchaser if required): parcels levied, total levy, changes from prior year, exceptions.</w:t>
      </w:r>
    </w:p>
    <w:tbl>
      <w:tblPr>
        <w:tblW w:type="dxa" w:w="9760"/>
        <w:tblBorders>
          <w:top w:val="single" w:color="DDE5EC" w:sz="4"/>
          <w:left w:val="single" w:color="3E7C59" w:sz="28"/>
          <w:bottom w:val="single" w:color="DDE5EC" w:sz="4"/>
          <w:right w:val="single" w:color="DDE5EC" w:sz="4"/>
          <w:insideH w:val="none"/>
          <w:insideV w:val="none"/>
        </w:tblBorders>
      </w:tblPr>
      <w:tblGrid>
        <w:gridCol w:w="9760"/>
      </w:tblGrid>
      <w:tr>
        <w:tc>
          <w:tcPr>
            <w:shd w:fill="F5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53A5B"/>
                <w:sz w:val="20"/>
                <w:szCs w:val="20"/>
              </w:rPr>
              <w:t xml:space="preserve">Why this section is strict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22831"/>
                <w:sz w:val="20"/>
                <w:szCs w:val="20"/>
              </w:rPr>
              <w:t xml:space="preserve">A levy error is the one operational failure that touches a homeowner’s tax bill, the county, the Issuer, and the purchaser simultaneously. 100% reconciliation is cheaper than one correction cycle.</w:t>
            </w:r>
          </w:p>
        </w:tc>
      </w:tr>
    </w:tbl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4 — PREPAYMENTS, PAYOFFS &amp; RELEASES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Quote requests answered within 5 business days with a payoff computed per the RMA prepayment formula (principal portion, redemption premium if any, accrued/defeasance amounts, fees) — TRA computes, INSITE verifies and issues.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Quotes carry an expiration date tied to the next levy cutoff; quotes crossing a levy date state both numbers.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On receipt of good funds: apply per formula; instruct release/subordination of the special-tax lien as to the parcel per counsel procedure; record the release; update the levy database same cycle.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Partial prepayments (per-lot payoffs at home sale, if the RMA permits) follow the same path with per-parcel allocation certificates.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5 — DELINQUENCY MONITORING &amp; ESCALATION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5.1 Ladder (default — conform to each note’s covenants)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700"/>
        <w:gridCol w:w="2900"/>
        <w:gridCol w:w="4300"/>
        <w:gridCol w:w="1860"/>
      </w:tblGrid>
      <w:tr>
        <w:trPr>
          <w:tblHeader/>
        </w:trPr>
        <w:tc>
          <w:tcPr>
            <w:tcW w:type="dxa" w:w="7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9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3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6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Installment shows unpaid on county data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Log; courtesy notice to owner of record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TRA → Ops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30 days delinquent</w:t>
            </w:r>
          </w:p>
        </w:tc>
        <w:tc>
          <w:tcPr>
            <w:tcW w:type="dxa" w:w="4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Certified demand letter; Issuer informed</w:t>
            </w:r>
          </w:p>
        </w:tc>
        <w:tc>
          <w:tcPr>
            <w:tcW w:type="dxa" w:w="18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Ops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Second missed installment or covenant threshold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Purchaser notified per note covenants; foreclosure-counsel consult</w:t>
            </w:r>
          </w:p>
        </w:tc>
        <w:tc>
          <w:tcPr>
            <w:tcW w:type="dxa" w:w="18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Ops/Prin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Covenant foreclosure trigger (e.g., amount/aging thresholds in the fiscal agent agreement)</w:t>
            </w:r>
          </w:p>
        </w:tc>
        <w:tc>
          <w:tcPr>
            <w:tcW w:type="dxa" w:w="43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initiates judicial foreclosure per Mello-Roos remedies as directed by covenants</w:t>
            </w:r>
          </w:p>
        </w:tc>
        <w:tc>
          <w:tcPr>
            <w:tcW w:type="dxa" w:w="18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 + counsel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The Mello-Roos framework secures the special tax with a lien and foreclosure remedy (California Debt Financing Guide, CDIAC). Exact triggers, cure periods, and mandatory-foreclosure covenants are set in each transaction’s documents; this ladder executes them — it never improvises around them.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53A5B"/>
          <w:sz w:val="24"/>
          <w:szCs w:val="24"/>
        </w:rPr>
        <w:t xml:space="preserve">5.2 Reporting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Delinquency report after each installment: parcel, amount, aging, step, next action, and portfolio delinquency rate.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222831"/>
          <w:sz w:val="21"/>
          <w:szCs w:val="21"/>
        </w:rPr>
        <w:t xml:space="preserve">Any Step-3+ event is reported to the Principal within 2 business days and included in the next investor package.</w:t>
      </w:r>
    </w:p>
    <w:p>
      <w:pPr>
        <w:pStyle w:val="Heading1"/>
        <w:pBdr>
          <w:bottom w:val="single" w:color="3E7C59" w:sz="12" w:space="6"/>
        </w:pBdr>
        <w:spacing w:after="180" w:before="340"/>
      </w:pPr>
      <w:r>
        <w:rPr>
          <w:rFonts w:ascii="Calibri" w:cs="Calibri" w:eastAsia="Calibri" w:hAnsi="Calibri"/>
          <w:b/>
          <w:bCs/>
          <w:color w:val="153A5B"/>
          <w:sz w:val="30"/>
          <w:szCs w:val="30"/>
        </w:rPr>
        <w:t xml:space="preserve">SECTION 6 — STAKEHOLDER REPORTING</w:t>
      </w:r>
    </w:p>
    <w:tbl>
      <w:tblPr>
        <w:tblW w:type="dxa" w:w="9760"/>
        <w:tblBorders>
          <w:top w:val="single" w:color="DDE5EC" w:sz="4"/>
          <w:left w:val="single" w:color="DDE5EC" w:sz="4"/>
          <w:bottom w:val="single" w:color="DDE5EC" w:sz="4"/>
          <w:right w:val="single" w:color="DDE5EC" w:sz="4"/>
          <w:insideH w:val="single" w:color="DDE5EC" w:sz="4"/>
          <w:insideV w:val="single" w:color="DDE5EC" w:sz="4"/>
        </w:tblBorders>
      </w:tblPr>
      <w:tblGrid>
        <w:gridCol w:w="2100"/>
        <w:gridCol w:w="1800"/>
        <w:gridCol w:w="4160"/>
        <w:gridCol w:w="1700"/>
      </w:tblGrid>
      <w:tr>
        <w:trPr>
          <w:tblHeader/>
        </w:trPr>
        <w:tc>
          <w:tcPr>
            <w:tcW w:type="dxa" w:w="21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8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416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700"/>
            <w:shd w:fill="153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Levy certificate &amp; report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Issuer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§3 outputs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Annual</w:t>
            </w:r>
          </w:p>
        </w:tc>
      </w:tr>
      <w:tr>
        <w:tc>
          <w:tcPr>
            <w:tcW w:type="dxa" w:w="21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Portfolio report</w:t>
            </w:r>
          </w:p>
        </w:tc>
        <w:tc>
          <w:tcPr>
            <w:tcW w:type="dxa" w:w="18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Purchaser(s)</w:t>
            </w:r>
          </w:p>
        </w:tc>
        <w:tc>
          <w:tcPr>
            <w:tcW w:type="dxa" w:w="41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Outstanding principal, levy performance, delinquency, prepayments, covenant compliance certificate</w:t>
            </w:r>
          </w:p>
        </w:tc>
        <w:tc>
          <w:tcPr>
            <w:tcW w:type="dxa" w:w="1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Annual (or per note terms)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Program dashboard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Principal / partners</w:t>
            </w:r>
          </w:p>
        </w:tc>
        <w:tc>
          <w:tcPr>
            <w:tcW w:type="dxa" w:w="4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KPIs from INS-010 Ch.9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21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State reporting</w:t>
            </w:r>
          </w:p>
        </w:tc>
        <w:tc>
          <w:tcPr>
            <w:tcW w:type="dxa" w:w="18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CDIAC / as required</w:t>
            </w:r>
          </w:p>
        </w:tc>
        <w:tc>
          <w:tcPr>
            <w:tcW w:type="dxa" w:w="416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Issuance and any ongoing reports counsel confirms for privately placed land-secured notes</w:t>
            </w:r>
          </w:p>
        </w:tc>
        <w:tc>
          <w:tcPr>
            <w:tcW w:type="dxa" w:w="1700"/>
            <w:shd w:fill="F5F7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831"/>
                <w:sz w:val="19"/>
                <w:szCs w:val="19"/>
              </w:rPr>
              <w:t xml:space="preserve">Per counsel calendar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60" w:right="1240" w:bottom="11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5EC" w:sz="4" w:space="4"/>
      </w:pBdr>
      <w:tabs>
        <w:tab w:val="right" w:pos="9760"/>
      </w:tabs>
    </w:pPr>
    <w:r>
      <w:rPr>
        <w:rFonts w:ascii="Calibri" w:cs="Calibri" w:eastAsia="Calibri" w:hAnsi="Calibri"/>
        <w:color w:val="6B7280"/>
        <w:sz w:val="15"/>
        <w:szCs w:val="15"/>
      </w:rPr>
      <w:t xml:space="preserve">HGF Management Company · Program Administrator · Confidential</w:t>
    </w:r>
    <w:r>
      <w:rPr>
        <w:sz w:val="15"/>
        <w:szCs w:val="15"/>
      </w:rPr>
      <w:t xml:space="preserve">	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5EC" w:sz="4" w:space="4"/>
      </w:pBdr>
      <w:tabs>
        <w:tab w:val="right" w:pos="9760"/>
      </w:tabs>
    </w:pPr>
    <w:r>
      <w:rPr>
        <w:rFonts w:ascii="Calibri" w:cs="Calibri" w:eastAsia="Calibri" w:hAnsi="Calibri"/>
        <w:b/>
        <w:bCs/>
        <w:color w:val="153A5B"/>
        <w:sz w:val="17"/>
        <w:szCs w:val="17"/>
      </w:rPr>
      <w:t xml:space="preserve">INSITE™</w:t>
    </w:r>
    <w:r>
      <w:rPr>
        <w:rFonts w:ascii="Calibri" w:cs="Calibri" w:eastAsia="Calibri" w:hAnsi="Calibri"/>
        <w:color w:val="6B7280"/>
        <w:sz w:val="17"/>
        <w:szCs w:val="17"/>
      </w:rPr>
      <w:t xml:space="preserve">  |  Annual Administration &amp; Tax Roll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3E7C59"/>
        <w:sz w:val="17"/>
        <w:szCs w:val="17"/>
      </w:rPr>
      <w:t xml:space="preserve">INS-501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53A5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53A5B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3E7C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a63711945d47cdb0797870a2c65d7711d38c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2026-07-10T05:16:11.063Z</dcterms:created>
  <dcterms:modified xsi:type="dcterms:W3CDTF">2026-07-10T05:16:11.064Z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