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rial" w:hAnsi="Arial"/>
          <w:b/>
          <w:color w:val="081F2E"/>
          <w:sz w:val="60"/>
        </w:rPr>
        <w:t>OCCU-MED</w:t>
      </w:r>
    </w:p>
    <w:p>
      <w:pPr>
        <w:jc w:val="center"/>
      </w:pPr>
      <w:r>
        <w:rPr>
          <w:rFonts w:ascii="Arial" w:hAnsi="Arial"/>
          <w:b/>
          <w:color w:val="267E97"/>
          <w:sz w:val="44"/>
        </w:rPr>
        <w:t>PowerPoint Complete Text Extraction</w:t>
      </w:r>
    </w:p>
    <w:p>
      <w:pPr>
        <w:spacing w:before="360"/>
        <w:jc w:val="center"/>
      </w:pPr>
      <w:r>
        <w:rPr>
          <w:rFonts w:ascii="Arial" w:hAnsi="Arial"/>
          <w:color w:val="4C5C67"/>
          <w:sz w:val="22"/>
        </w:rPr>
        <w:t>Transcribed slide-by-slide from the supplied 24-page PDF.</w:t>
      </w:r>
    </w:p>
    <w:p>
      <w:pPr>
        <w:jc w:val="center"/>
      </w:pPr>
      <w:r>
        <w:rPr>
          <w:rFonts w:ascii="Arial" w:hAnsi="Arial"/>
          <w:i/>
          <w:color w:val="4C5C67"/>
          <w:sz w:val="19"/>
        </w:rPr>
        <w:t>Source wording and organization are preserved; obvious font-encoding and OCR artifacts were normalized for readability. Claims are reproduced from the source and are not independently verified in this extraction.</w:t>
      </w:r>
    </w:p>
    <w:p>
      <w:r>
        <w:br w:type="page"/>
      </w:r>
    </w:p>
    <w:p>
      <w:pPr>
        <w:pStyle w:val="SlideNumber"/>
      </w:pPr>
      <w:r>
        <w:t>SLIDE 01 OF 24</w:t>
      </w:r>
    </w:p>
    <w:p>
      <w:pPr>
        <w:pStyle w:val="SlideTitle"/>
      </w:pPr>
      <w:r>
        <w:t>Occu-Med</w:t>
      </w:r>
    </w:p>
    <w:p>
      <w:pPr>
        <w:spacing w:after="160"/>
        <w:pBdr>
          <w:bottom w:val="single" w:sz="10" w:space="1" w:color="267E97"/>
        </w:pBdr>
      </w:pPr>
    </w:p>
    <w:p>
      <w:pPr>
        <w:pStyle w:val="BodyExtract"/>
      </w:pPr>
      <w:r>
        <w:t>2121 West Bullard Avenue, Fresno, CA 93711</w:t>
      </w:r>
    </w:p>
    <w:p>
      <w:pPr>
        <w:pStyle w:val="BodyExtract"/>
      </w:pPr>
      <w:r>
        <w:t>T: (559) 435-2800 | F: (800) 262-2863</w:t>
      </w:r>
    </w:p>
    <w:p>
      <w:pPr>
        <w:pStyle w:val="BodyExtract"/>
      </w:pPr>
      <w:r>
        <w:t>www.occu-med.com</w:t>
      </w:r>
    </w:p>
    <w:p>
      <w:pPr>
        <w:pStyle w:val="VisualNote"/>
      </w:pPr>
      <w:r>
        <w:rPr>
          <w:b/>
        </w:rPr>
        <w:t xml:space="preserve">Visual context: </w:t>
      </w:r>
      <w:r>
        <w:t>Illustrated Occu-Med headquarters/building exterior.</w:t>
      </w:r>
    </w:p>
    <w:p>
      <w:r>
        <w:br w:type="page"/>
      </w:r>
    </w:p>
    <w:p>
      <w:pPr>
        <w:pStyle w:val="SlideNumber"/>
      </w:pPr>
      <w:r>
        <w:t>SLIDE 02 OF 24</w:t>
      </w:r>
    </w:p>
    <w:p>
      <w:pPr>
        <w:pStyle w:val="SlideTitle"/>
      </w:pPr>
      <w:r>
        <w:t>Transforming Workplace Safety Through Medical Excellence</w:t>
      </w:r>
    </w:p>
    <w:p>
      <w:pPr>
        <w:spacing w:after="160"/>
        <w:pBdr>
          <w:bottom w:val="single" w:sz="10" w:space="1" w:color="267E97"/>
        </w:pBdr>
      </w:pPr>
    </w:p>
    <w:p>
      <w:pPr>
        <w:pStyle w:val="BodyExtract"/>
      </w:pPr>
      <w:r>
        <w:t>A nationally recognized leader in medical evaluations for employment, serving over 1 million employees across 15,000 global locations since 1979.</w:t>
      </w:r>
    </w:p>
    <w:p>
      <w:pPr>
        <w:pStyle w:val="VisualNote"/>
      </w:pPr>
      <w:r>
        <w:rPr>
          <w:b/>
        </w:rPr>
        <w:t xml:space="preserve">Visual context: </w:t>
      </w:r>
      <w:r>
        <w:t>Occu-Med logo with illustrated workers/healthcare professionals.</w:t>
      </w:r>
    </w:p>
    <w:p>
      <w:r>
        <w:br w:type="page"/>
      </w:r>
    </w:p>
    <w:p>
      <w:pPr>
        <w:pStyle w:val="SlideNumber"/>
      </w:pPr>
      <w:r>
        <w:t>SLIDE 03 OF 24</w:t>
      </w:r>
    </w:p>
    <w:p>
      <w:pPr>
        <w:pStyle w:val="SlideTitle"/>
      </w:pPr>
      <w:r>
        <w:t>Company Heritage &amp; Global Reach</w:t>
      </w:r>
    </w:p>
    <w:p>
      <w:pPr>
        <w:spacing w:after="160"/>
        <w:pBdr>
          <w:bottom w:val="single" w:sz="10" w:space="1" w:color="267E97"/>
        </w:pBdr>
      </w:pPr>
    </w:p>
    <w:p>
      <w:pPr>
        <w:pStyle w:val="Subhead"/>
      </w:pPr>
      <w:r>
        <w:t>Founded in Excellence</w:t>
      </w:r>
    </w:p>
    <w:p>
      <w:pPr>
        <w:pStyle w:val="BodyExtract"/>
      </w:pPr>
      <w:r>
        <w:t>Established in Honolulu, Hawaii, in 1979 by Attorney Jim A. Johnson, Occu-Med emerged during a time of crisis when workers’ compensation claims threatened to bankrupt public agencies and private companies.</w:t>
      </w:r>
    </w:p>
    <w:p>
      <w:pPr>
        <w:pStyle w:val="BodyExtract"/>
      </w:pPr>
      <w:r>
        <w:t>From the very beginning, Occu-Med adopted a different approach: while any doctor can determine if an employee is "healthy," Occu-Med combines medical, legal, and job-specific knowledge for comprehensive placement decisions.</w:t>
      </w:r>
    </w:p>
    <w:p>
      <w:pPr>
        <w:pStyle w:val="VisualNote"/>
      </w:pPr>
      <w:r>
        <w:rPr>
          <w:b/>
        </w:rPr>
        <w:t xml:space="preserve">Visual context: </w:t>
      </w:r>
      <w:r>
        <w:t>Open-book illustration with Hawaii and California emblems.</w:t>
      </w:r>
    </w:p>
    <w:p>
      <w:r>
        <w:br w:type="page"/>
      </w:r>
    </w:p>
    <w:p>
      <w:pPr>
        <w:pStyle w:val="SlideNumber"/>
      </w:pPr>
      <w:r>
        <w:t>SLIDE 04 OF 24</w:t>
      </w:r>
    </w:p>
    <w:p>
      <w:pPr>
        <w:pStyle w:val="SlideTitle"/>
      </w:pPr>
      <w:r>
        <w:t>The Critical Discovery</w:t>
      </w:r>
    </w:p>
    <w:p>
      <w:pPr>
        <w:spacing w:after="160"/>
        <w:pBdr>
          <w:bottom w:val="single" w:sz="10" w:space="1" w:color="267E97"/>
        </w:pBdr>
      </w:pPr>
    </w:p>
    <w:p>
      <w:pPr>
        <w:pStyle w:val="BodyExtract"/>
      </w:pPr>
      <w:r>
        <w:t>Attorney Johnson conducted groundbreaking research funded by the State of California, which revealed that a significant number of workplace injuries were linked to employees who were hired with pre-existing medical conditions that elevated their risk of harm once on the job.</w:t>
      </w:r>
    </w:p>
    <w:p>
      <w:pPr>
        <w:pStyle w:val="Subhead"/>
      </w:pPr>
      <w:r>
        <w:t>First-Year Injuries</w:t>
      </w:r>
    </w:p>
    <w:p>
      <w:pPr>
        <w:pStyle w:val="BodyExtract"/>
      </w:pPr>
      <w:r>
        <w:t>41% of all workplace injuries occur during an employee’s first year of employment.</w:t>
      </w:r>
    </w:p>
    <w:p>
      <w:pPr>
        <w:pStyle w:val="Subhead"/>
      </w:pPr>
      <w:r>
        <w:t>Daily Cost</w:t>
      </w:r>
    </w:p>
    <w:p>
      <w:pPr>
        <w:pStyle w:val="BodyExtract"/>
      </w:pPr>
      <w:r>
        <w:t>Employers lose thousands of dollars per day from preventable injuries.</w:t>
      </w:r>
    </w:p>
    <w:p>
      <w:pPr>
        <w:pStyle w:val="VisualNote"/>
      </w:pPr>
      <w:r>
        <w:rPr>
          <w:b/>
        </w:rPr>
        <w:t xml:space="preserve">Visual context: </w:t>
      </w:r>
      <w:r>
        <w:t>Attorney/researcher and medical professional reviewing information together.</w:t>
      </w:r>
    </w:p>
    <w:p>
      <w:r>
        <w:br w:type="page"/>
      </w:r>
    </w:p>
    <w:p>
      <w:pPr>
        <w:pStyle w:val="SlideNumber"/>
      </w:pPr>
      <w:r>
        <w:t>SLIDE 05 OF 24</w:t>
      </w:r>
    </w:p>
    <w:p>
      <w:pPr>
        <w:pStyle w:val="SlideTitle"/>
      </w:pPr>
      <w:r>
        <w:t>The Problem with Traditional Medical Exams</w:t>
      </w:r>
    </w:p>
    <w:p>
      <w:pPr>
        <w:spacing w:after="160"/>
        <w:pBdr>
          <w:bottom w:val="single" w:sz="10" w:space="1" w:color="267E97"/>
        </w:pBdr>
      </w:pPr>
    </w:p>
    <w:p>
      <w:pPr>
        <w:pStyle w:val="Subhead"/>
      </w:pPr>
      <w:r>
        <w:t>Limited Context</w:t>
      </w:r>
    </w:p>
    <w:p>
      <w:pPr>
        <w:pStyle w:val="BodyExtract"/>
      </w:pPr>
      <w:r>
        <w:t>General practitioners lacked job-specific knowledge and legal requirements when making placement decisions.</w:t>
      </w:r>
    </w:p>
    <w:p>
      <w:pPr>
        <w:pStyle w:val="Subhead"/>
      </w:pPr>
      <w:r>
        <w:t>Insufficient Information</w:t>
      </w:r>
    </w:p>
    <w:p>
      <w:pPr>
        <w:pStyle w:val="BodyExtract"/>
      </w:pPr>
      <w:r>
        <w:t>Physicians were required to make critical placement decisions without adequate details about job demands.</w:t>
      </w:r>
    </w:p>
    <w:p>
      <w:pPr>
        <w:pStyle w:val="Subhead"/>
      </w:pPr>
      <w:r>
        <w:t>Ineffective System</w:t>
      </w:r>
    </w:p>
    <w:p>
      <w:pPr>
        <w:pStyle w:val="BodyExtract"/>
      </w:pPr>
      <w:r>
        <w:t>Traditional pre-placement exams at local clinics proved inadequate for preventing workplace injuries.</w:t>
      </w:r>
    </w:p>
    <w:p>
      <w:pPr>
        <w:pStyle w:val="VisualNote"/>
      </w:pPr>
      <w:r>
        <w:rPr>
          <w:b/>
        </w:rPr>
        <w:t xml:space="preserve">Visual context: </w:t>
      </w:r>
      <w:r>
        <w:t>Concerned physician and worker with question/warning symbols.</w:t>
      </w:r>
    </w:p>
    <w:p>
      <w:r>
        <w:br w:type="page"/>
      </w:r>
    </w:p>
    <w:p>
      <w:pPr>
        <w:pStyle w:val="SlideNumber"/>
      </w:pPr>
      <w:r>
        <w:t>SLIDE 06 OF 24</w:t>
      </w:r>
    </w:p>
    <w:p>
      <w:pPr>
        <w:pStyle w:val="SlideTitle"/>
      </w:pPr>
      <w:r>
        <w:t>Occu-Med’s Solution</w:t>
      </w:r>
    </w:p>
    <w:p>
      <w:pPr>
        <w:spacing w:after="160"/>
        <w:pBdr>
          <w:bottom w:val="single" w:sz="10" w:space="1" w:color="267E97"/>
        </w:pBdr>
      </w:pPr>
    </w:p>
    <w:p>
      <w:pPr>
        <w:pStyle w:val="Subhead"/>
      </w:pPr>
      <w:r>
        <w:t>Specialists &amp; Subspecialists</w:t>
      </w:r>
    </w:p>
    <w:p>
      <w:pPr>
        <w:pStyle w:val="BodyExtract"/>
      </w:pPr>
      <w:r>
        <w:t>Integrating medical experts and Subject Matter Experts, rather than relying solely on general practitioners.</w:t>
      </w:r>
    </w:p>
    <w:p>
      <w:pPr>
        <w:pStyle w:val="Subhead"/>
      </w:pPr>
      <w:r>
        <w:t>Evidence-Based Framework</w:t>
      </w:r>
    </w:p>
    <w:p>
      <w:pPr>
        <w:pStyle w:val="BodyExtract"/>
      </w:pPr>
      <w:r>
        <w:t>Replacing traditional medical models with legal and evidence-based placement decisions.</w:t>
      </w:r>
    </w:p>
    <w:p>
      <w:pPr>
        <w:pStyle w:val="Subhead"/>
      </w:pPr>
      <w:r>
        <w:t>Detailed Job Information</w:t>
      </w:r>
    </w:p>
    <w:p>
      <w:pPr>
        <w:pStyle w:val="BodyExtract"/>
      </w:pPr>
      <w:r>
        <w:t>Incorporating comprehensive job requirements and legal compliance into evaluations.</w:t>
      </w:r>
    </w:p>
    <w:p>
      <w:pPr>
        <w:pStyle w:val="Subhead"/>
      </w:pPr>
      <w:r>
        <w:t>Measurable Impact</w:t>
      </w:r>
    </w:p>
    <w:p>
      <w:pPr>
        <w:pStyle w:val="BodyExtract"/>
      </w:pPr>
      <w:r>
        <w:t>Preventing 41% of first-year injuries saves employers thousands daily.</w:t>
      </w:r>
    </w:p>
    <w:p>
      <w:pPr>
        <w:pStyle w:val="Subhead"/>
      </w:pPr>
      <w:r>
        <w:t>Faster Results</w:t>
      </w:r>
    </w:p>
    <w:p>
      <w:pPr>
        <w:pStyle w:val="BodyExtract"/>
      </w:pPr>
      <w:r>
        <w:t>Real-time reporting reduces wait times by days for quicker placement decisions. This comprehensive approach creates objective, consistent placement determinations that benefit both employers and employees while strengthening workplace safety.</w:t>
      </w:r>
    </w:p>
    <w:p>
      <w:pPr>
        <w:pStyle w:val="VisualNote"/>
      </w:pPr>
      <w:r>
        <w:rPr>
          <w:b/>
        </w:rPr>
        <w:t xml:space="preserve">Visual context: </w:t>
      </w:r>
      <w:r>
        <w:t>Illustrated file/document and professional profile imagery.</w:t>
      </w:r>
    </w:p>
    <w:p>
      <w:r>
        <w:br w:type="page"/>
      </w:r>
    </w:p>
    <w:p>
      <w:pPr>
        <w:pStyle w:val="SlideNumber"/>
      </w:pPr>
      <w:r>
        <w:t>SLIDE 07 OF 24</w:t>
      </w:r>
    </w:p>
    <w:p>
      <w:pPr>
        <w:pStyle w:val="SlideTitle"/>
      </w:pPr>
      <w:r>
        <w:t>Our Proprietary Evaluation System</w:t>
      </w:r>
    </w:p>
    <w:p>
      <w:pPr>
        <w:spacing w:after="160"/>
        <w:pBdr>
          <w:bottom w:val="single" w:sz="10" w:space="1" w:color="267E97"/>
        </w:pBdr>
      </w:pPr>
    </w:p>
    <w:p>
      <w:pPr>
        <w:pStyle w:val="BodyExtract"/>
      </w:pPr>
      <w:r>
        <w:t>Occu-Med’s proprietary, research-based evaluation system integrates job-information, medical exam findings, and job-demand analysis to determine safe job placement.</w:t>
      </w:r>
    </w:p>
    <w:p>
      <w:pPr>
        <w:pStyle w:val="BodyExtract"/>
      </w:pPr>
      <w:r>
        <w:t>We have processed 500+ distinct healthcare job classes across clinical, occupational, emergency, correctional, and deployment environments—spanning both domestic and international operations.</w:t>
      </w:r>
    </w:p>
    <w:p>
      <w:pPr>
        <w:pStyle w:val="VisualNote"/>
      </w:pPr>
      <w:r>
        <w:rPr>
          <w:b/>
        </w:rPr>
        <w:t xml:space="preserve">Visual context: </w:t>
      </w:r>
      <w:r>
        <w:t>Four healthcare professionals representing multiple clinical roles.</w:t>
      </w:r>
    </w:p>
    <w:p>
      <w:r>
        <w:br w:type="page"/>
      </w:r>
    </w:p>
    <w:p>
      <w:pPr>
        <w:pStyle w:val="SlideNumber"/>
      </w:pPr>
      <w:r>
        <w:t>SLIDE 08 OF 24</w:t>
      </w:r>
    </w:p>
    <w:p>
      <w:pPr>
        <w:pStyle w:val="SlideTitle"/>
      </w:pPr>
      <w:r>
        <w:t>Occu-Med’s Process</w:t>
      </w:r>
    </w:p>
    <w:p>
      <w:pPr>
        <w:spacing w:after="160"/>
        <w:pBdr>
          <w:bottom w:val="single" w:sz="10" w:space="1" w:color="267E97"/>
        </w:pBdr>
      </w:pPr>
    </w:p>
    <w:p>
      <w:pPr>
        <w:pStyle w:val="Subhead"/>
      </w:pPr>
      <w:r>
        <w:t>Referral &amp; Scheduling</w:t>
      </w:r>
    </w:p>
    <w:p>
      <w:pPr>
        <w:pStyle w:val="BodyExtract"/>
        <w:ind w:left="288" w:hanging="187"/>
      </w:pPr>
      <w:r>
        <w:rPr>
          <w:b/>
        </w:rPr>
        <w:t xml:space="preserve">• </w:t>
      </w:r>
      <w:r>
        <w:t>Occu-Med receives a referral.</w:t>
      </w:r>
    </w:p>
    <w:p>
      <w:pPr>
        <w:pStyle w:val="BodyExtract"/>
        <w:ind w:left="288" w:hanging="187"/>
      </w:pPr>
      <w:r>
        <w:rPr>
          <w:b/>
        </w:rPr>
        <w:t xml:space="preserve">• </w:t>
      </w:r>
      <w:r>
        <w:t>Scheduling team contacts the employee/applicant.</w:t>
      </w:r>
    </w:p>
    <w:p>
      <w:pPr>
        <w:pStyle w:val="BodyExtract"/>
        <w:ind w:left="288" w:hanging="187"/>
      </w:pPr>
      <w:r>
        <w:rPr>
          <w:b/>
        </w:rPr>
        <w:t xml:space="preserve">• </w:t>
      </w:r>
      <w:r>
        <w:t>Scheduling team contacts the clinic.</w:t>
      </w:r>
    </w:p>
    <w:p>
      <w:pPr>
        <w:pStyle w:val="BodyExtract"/>
      </w:pPr>
      <w:r>
        <w:t>Occu-Med receives a referral from the employer or client, which begins the medical evaluation process.</w:t>
      </w:r>
    </w:p>
    <w:p>
      <w:pPr>
        <w:pStyle w:val="BodyExtract"/>
      </w:pPr>
      <w:r>
        <w:t>The scheduling team contacts the examinee to confirm their availability and preferred times.</w:t>
      </w:r>
    </w:p>
    <w:p>
      <w:pPr>
        <w:pStyle w:val="BodyExtract"/>
      </w:pPr>
      <w:r>
        <w:t>The scheduling team then reaches out to the clinic, relays the examinee’s availability, and requests when they can accommodate the appointment.</w:t>
      </w:r>
    </w:p>
    <w:p>
      <w:pPr>
        <w:pStyle w:val="BodyExtract"/>
      </w:pPr>
      <w:r>
        <w:t>Once Occu-Med receives confirmation from the clinic, they notify both the examinee and the employer of the scheduled appointment.</w:t>
      </w:r>
    </w:p>
    <w:p>
      <w:pPr>
        <w:pStyle w:val="BodyExtract"/>
      </w:pPr>
      <w:r>
        <w:t>Occu-Med then sends the examinee’s exam packet to the clinic.</w:t>
      </w:r>
    </w:p>
    <w:p>
      <w:pPr>
        <w:pStyle w:val="VisualNote"/>
      </w:pPr>
      <w:r>
        <w:rPr>
          <w:b/>
        </w:rPr>
        <w:t xml:space="preserve">Visual context: </w:t>
      </w:r>
      <w:r>
        <w:t>Scheduling/referral illustrations showing Occu-Med, the examinee/applicant, and clinic contact.</w:t>
      </w:r>
    </w:p>
    <w:p>
      <w:r>
        <w:br w:type="page"/>
      </w:r>
    </w:p>
    <w:p>
      <w:pPr>
        <w:pStyle w:val="SlideNumber"/>
      </w:pPr>
      <w:r>
        <w:t>SLIDE 09 OF 24</w:t>
      </w:r>
    </w:p>
    <w:p>
      <w:pPr>
        <w:pStyle w:val="SlideTitle"/>
      </w:pPr>
      <w:r>
        <w:t>Appointment Rescheduling</w:t>
      </w:r>
    </w:p>
    <w:p>
      <w:pPr>
        <w:spacing w:after="160"/>
        <w:pBdr>
          <w:bottom w:val="single" w:sz="10" w:space="1" w:color="267E97"/>
        </w:pBdr>
      </w:pPr>
    </w:p>
    <w:p>
      <w:pPr>
        <w:pStyle w:val="BodyExtract"/>
      </w:pPr>
      <w:r>
        <w:t>If the scheduled appointment is missed, a Scheduling Analyst follows up with the examinee. A new appointment is arranged to ensure the exam is completed.</w:t>
      </w:r>
    </w:p>
    <w:p>
      <w:pPr>
        <w:pStyle w:val="VisualNote"/>
      </w:pPr>
      <w:r>
        <w:rPr>
          <w:b/>
        </w:rPr>
        <w:t xml:space="preserve">Visual context: </w:t>
      </w:r>
      <w:r>
        <w:t>Scheduling analyst at a computer/calendar contacting an applicant.</w:t>
      </w:r>
    </w:p>
    <w:p>
      <w:r>
        <w:br w:type="page"/>
      </w:r>
    </w:p>
    <w:p>
      <w:pPr>
        <w:pStyle w:val="SlideNumber"/>
      </w:pPr>
      <w:r>
        <w:t>SLIDE 10 OF 24</w:t>
      </w:r>
    </w:p>
    <w:p>
      <w:pPr>
        <w:pStyle w:val="SlideTitle"/>
      </w:pPr>
      <w:r>
        <w:t>Exam Administered</w:t>
      </w:r>
    </w:p>
    <w:p>
      <w:pPr>
        <w:spacing w:after="160"/>
        <w:pBdr>
          <w:bottom w:val="single" w:sz="10" w:space="1" w:color="267E97"/>
        </w:pBdr>
      </w:pPr>
    </w:p>
    <w:p>
      <w:pPr>
        <w:pStyle w:val="BodyExtract"/>
      </w:pPr>
      <w:r>
        <w:t>The examinee attends their scheduled appointment at the clinic and completes their evaluation, which may include a physical exam, lab testing, and dental screening, as determined on a case-by-case basis. All findings are documented by the providers so the records can be submitted to Occu-Med for review.</w:t>
      </w:r>
    </w:p>
    <w:p>
      <w:pPr>
        <w:pStyle w:val="VisualNote"/>
      </w:pPr>
      <w:r>
        <w:rPr>
          <w:b/>
        </w:rPr>
        <w:t xml:space="preserve">Visual context: </w:t>
      </w:r>
      <w:r>
        <w:t>Clinical scenes including medical exam, dental exam, blood draw/laboratory work, and audiometry.</w:t>
      </w:r>
    </w:p>
    <w:p>
      <w:r>
        <w:br w:type="page"/>
      </w:r>
    </w:p>
    <w:p>
      <w:pPr>
        <w:pStyle w:val="SlideNumber"/>
      </w:pPr>
      <w:r>
        <w:t>SLIDE 11 OF 24</w:t>
      </w:r>
    </w:p>
    <w:p>
      <w:pPr>
        <w:pStyle w:val="SlideTitle"/>
      </w:pPr>
      <w:r>
        <w:t>Provider Relations Analysts Request Records</w:t>
      </w:r>
    </w:p>
    <w:p>
      <w:pPr>
        <w:spacing w:after="160"/>
        <w:pBdr>
          <w:bottom w:val="single" w:sz="10" w:space="1" w:color="267E97"/>
        </w:pBdr>
      </w:pPr>
    </w:p>
    <w:p>
      <w:pPr>
        <w:pStyle w:val="BodyExtract"/>
      </w:pPr>
      <w:r>
        <w:t>The Provider Relations Department contacts the clinic to confirm the examinee’s attendance. They continue to follow up until all results are received.</w:t>
      </w:r>
    </w:p>
    <w:p>
      <w:pPr>
        <w:pStyle w:val="VisualNote"/>
      </w:pPr>
      <w:r>
        <w:rPr>
          <w:b/>
        </w:rPr>
        <w:t xml:space="preserve">Visual context: </w:t>
      </w:r>
      <w:r>
        <w:t>Provider Relations analyst monitoring cases and contacting clinics.</w:t>
      </w:r>
    </w:p>
    <w:p>
      <w:r>
        <w:br w:type="page"/>
      </w:r>
    </w:p>
    <w:p>
      <w:pPr>
        <w:pStyle w:val="SlideNumber"/>
      </w:pPr>
      <w:r>
        <w:t>SLIDE 12 OF 24</w:t>
      </w:r>
    </w:p>
    <w:p>
      <w:pPr>
        <w:pStyle w:val="SlideTitle"/>
      </w:pPr>
      <w:r>
        <w:t>Quality Assurance Review</w:t>
      </w:r>
    </w:p>
    <w:p>
      <w:pPr>
        <w:spacing w:after="160"/>
        <w:pBdr>
          <w:bottom w:val="single" w:sz="10" w:space="1" w:color="267E97"/>
        </w:pBdr>
      </w:pPr>
    </w:p>
    <w:p>
      <w:pPr>
        <w:pStyle w:val="BodyExtract"/>
      </w:pPr>
      <w:r>
        <w:t>The Exam Quality Assurance (QA) Department reviews all incoming records to verify completeness and accuracy. If any documentation is missing, incomplete, or contains discrepancies, a QA Analyst notifies the Provider Relations team. A Provider Relations Analyst then follows up directly with the clinic to resolve the issue and obtain the required corrections.</w:t>
      </w:r>
    </w:p>
    <w:p>
      <w:pPr>
        <w:pStyle w:val="VisualNote"/>
      </w:pPr>
      <w:r>
        <w:rPr>
          <w:b/>
        </w:rPr>
        <w:t xml:space="preserve">Visual context: </w:t>
      </w:r>
      <w:r>
        <w:t>QA analyst reviewing medical records on a workstation.</w:t>
      </w:r>
    </w:p>
    <w:p>
      <w:r>
        <w:br w:type="page"/>
      </w:r>
    </w:p>
    <w:p>
      <w:pPr>
        <w:pStyle w:val="SlideNumber"/>
      </w:pPr>
      <w:r>
        <w:t>SLIDE 13 OF 24</w:t>
      </w:r>
    </w:p>
    <w:p>
      <w:pPr>
        <w:pStyle w:val="SlideTitle"/>
      </w:pPr>
      <w:r>
        <w:t>Missing or Incorrect Records</w:t>
      </w:r>
    </w:p>
    <w:p>
      <w:pPr>
        <w:spacing w:after="160"/>
        <w:pBdr>
          <w:bottom w:val="single" w:sz="10" w:space="1" w:color="267E97"/>
        </w:pBdr>
      </w:pPr>
    </w:p>
    <w:p>
      <w:pPr>
        <w:pStyle w:val="BodyExtract"/>
      </w:pPr>
      <w:r>
        <w:t>Once the amended results are forwarded by the clinic to Occu-Med, they undergo a final Quality Assurance review to ensure all corrections have been made. After this final check is completed, the records are passed on to the Exam Review Department for assessment and placement recommendation.</w:t>
      </w:r>
    </w:p>
    <w:p>
      <w:pPr>
        <w:pStyle w:val="VisualNote"/>
      </w:pPr>
      <w:r>
        <w:rPr>
          <w:b/>
        </w:rPr>
        <w:t xml:space="preserve">Visual context: </w:t>
      </w:r>
      <w:r>
        <w:t>Provider/analyst reviewing and correcting a paper record.</w:t>
      </w:r>
    </w:p>
    <w:p>
      <w:r>
        <w:br w:type="page"/>
      </w:r>
    </w:p>
    <w:p>
      <w:pPr>
        <w:pStyle w:val="SlideNumber"/>
      </w:pPr>
      <w:r>
        <w:t>SLIDE 14 OF 24</w:t>
      </w:r>
    </w:p>
    <w:p>
      <w:pPr>
        <w:pStyle w:val="SlideTitle"/>
      </w:pPr>
      <w:r>
        <w:t>Medical Review Team Evaluation</w:t>
      </w:r>
    </w:p>
    <w:p>
      <w:pPr>
        <w:spacing w:after="160"/>
        <w:pBdr>
          <w:bottom w:val="single" w:sz="10" w:space="1" w:color="267E97"/>
        </w:pBdr>
      </w:pPr>
    </w:p>
    <w:p>
      <w:pPr>
        <w:pStyle w:val="BodyExtract"/>
      </w:pPr>
      <w:r>
        <w:t>Subject matter experts and medical providers carefully review all exam results. Results are evaluated against applicable guidelines, which are determined by the individual’s job classification and area of deployment. Their assessment ensures that medical findings are interpreted in the context of occupational requirements and deployment standards.</w:t>
      </w:r>
    </w:p>
    <w:p>
      <w:pPr>
        <w:pStyle w:val="VisualNote"/>
      </w:pPr>
      <w:r>
        <w:rPr>
          <w:b/>
        </w:rPr>
        <w:t xml:space="preserve">Visual context: </w:t>
      </w:r>
      <w:r>
        <w:t>Medical reviewer and subject matter expert with fitness-determination and guideline materials.</w:t>
      </w:r>
    </w:p>
    <w:p>
      <w:r>
        <w:br w:type="page"/>
      </w:r>
    </w:p>
    <w:p>
      <w:pPr>
        <w:pStyle w:val="SlideNumber"/>
      </w:pPr>
      <w:r>
        <w:t>SLIDE 15 OF 24</w:t>
      </w:r>
    </w:p>
    <w:p>
      <w:pPr>
        <w:pStyle w:val="SlideTitle"/>
      </w:pPr>
      <w:r>
        <w:t>Exam Findings &amp; Follow-Up</w:t>
      </w:r>
    </w:p>
    <w:p>
      <w:pPr>
        <w:spacing w:after="160"/>
        <w:pBdr>
          <w:bottom w:val="single" w:sz="10" w:space="1" w:color="267E97"/>
        </w:pBdr>
      </w:pPr>
    </w:p>
    <w:p>
      <w:pPr>
        <w:pStyle w:val="BodyExtract"/>
      </w:pPr>
      <w:r>
        <w:t>If any abnormal findings are documented during the exam, the examinee is responsible for obtaining follow-up care.</w:t>
      </w:r>
    </w:p>
    <w:p>
      <w:pPr>
        <w:pStyle w:val="BodyExtract"/>
      </w:pPr>
      <w:r>
        <w:t>An assigned case manager contacts the examinee directly to explain any additional follow-up care or testing required under the applicable guidelines. The examinee also receives a formal letter detailing all necessary information and instructions needed to complete the process for reconsideration.</w:t>
      </w:r>
    </w:p>
    <w:p>
      <w:pPr>
        <w:pStyle w:val="BodyExtract"/>
      </w:pPr>
      <w:r>
        <w:t>This outreach often prompts the examinee to pursue the necessary follow-up care—especially if they don’t already have an established provider. In most cases, the examinee returns to the same clinic where the original evaluation was performed to ensure continuity of care.</w:t>
      </w:r>
    </w:p>
    <w:p>
      <w:pPr>
        <w:pStyle w:val="BodyExtract"/>
      </w:pPr>
      <w:r>
        <w:t>This process provides the examinee with the opportunity to address any medical findings identified during their physical exam—and to clarify whether those findings would impact their ability to safely perform the essential job functions of the prospective position—before a final determination is made by Occu-Med’s subject matter experts.</w:t>
      </w:r>
    </w:p>
    <w:p>
      <w:pPr>
        <w:pStyle w:val="VisualNote"/>
      </w:pPr>
      <w:r>
        <w:rPr>
          <w:b/>
        </w:rPr>
        <w:t xml:space="preserve">Visual context: </w:t>
      </w:r>
      <w:r>
        <w:t>Applicant, case manager, and clinic follow-up workflow.</w:t>
      </w:r>
    </w:p>
    <w:p>
      <w:r>
        <w:br w:type="page"/>
      </w:r>
    </w:p>
    <w:p>
      <w:pPr>
        <w:pStyle w:val="SlideNumber"/>
      </w:pPr>
      <w:r>
        <w:t>SLIDE 16 OF 24</w:t>
      </w:r>
    </w:p>
    <w:p>
      <w:pPr>
        <w:pStyle w:val="SlideTitle"/>
      </w:pPr>
      <w:r>
        <w:t>Final Outcome</w:t>
      </w:r>
    </w:p>
    <w:p>
      <w:pPr>
        <w:spacing w:after="160"/>
        <w:pBdr>
          <w:bottom w:val="single" w:sz="10" w:space="1" w:color="267E97"/>
        </w:pBdr>
      </w:pPr>
    </w:p>
    <w:p>
      <w:pPr>
        <w:pStyle w:val="BodyExtract"/>
      </w:pPr>
      <w:r>
        <w:t>Occu-Med receives the additional follow-up information from the examinee.</w:t>
      </w:r>
    </w:p>
    <w:p>
      <w:pPr>
        <w:pStyle w:val="BodyExtract"/>
      </w:pPr>
      <w:r>
        <w:t>The Medical Review Team determines whether the individual can safely deploy or perform essential job functions of their position.</w:t>
      </w:r>
    </w:p>
    <w:p>
      <w:pPr>
        <w:pStyle w:val="BodyExtract"/>
      </w:pPr>
      <w:r>
        <w:t>Occu-Med communicates only the outcome to the employer, never the medical details.</w:t>
      </w:r>
    </w:p>
    <w:p>
      <w:pPr>
        <w:pStyle w:val="BodyExtract"/>
      </w:pPr>
      <w:r>
        <w:t>This process ensures confidentiality is maintained while providing employers with the information they need to make workforce decisions.</w:t>
      </w:r>
    </w:p>
    <w:p>
      <w:pPr>
        <w:pStyle w:val="VisualNote"/>
      </w:pPr>
      <w:r>
        <w:rPr>
          <w:b/>
        </w:rPr>
        <w:t xml:space="preserve">Visual context: </w:t>
      </w:r>
      <w:r>
        <w:t>Final recommendation/outcome sent to the employer; source illustration shows "APPROVED."</w:t>
      </w:r>
    </w:p>
    <w:p>
      <w:r>
        <w:br w:type="page"/>
      </w:r>
    </w:p>
    <w:p>
      <w:pPr>
        <w:pStyle w:val="SlideNumber"/>
      </w:pPr>
      <w:r>
        <w:t>SLIDE 17 OF 24</w:t>
      </w:r>
    </w:p>
    <w:p>
      <w:pPr>
        <w:pStyle w:val="SlideTitle"/>
      </w:pPr>
      <w:r>
        <w:t>Industries We Serve</w:t>
      </w:r>
    </w:p>
    <w:p>
      <w:pPr>
        <w:spacing w:after="160"/>
        <w:pBdr>
          <w:bottom w:val="single" w:sz="10" w:space="1" w:color="267E97"/>
        </w:pBdr>
      </w:pPr>
    </w:p>
    <w:p>
      <w:pPr>
        <w:pStyle w:val="Subhead"/>
      </w:pPr>
      <w:r>
        <w:t>Defense &amp; Government</w:t>
      </w:r>
    </w:p>
    <w:p>
      <w:pPr>
        <w:pStyle w:val="BodyExtract"/>
      </w:pPr>
      <w:r>
        <w:t>Supporting contractors with comprehensive medical evaluations and compliance requirements.</w:t>
      </w:r>
    </w:p>
    <w:p>
      <w:pPr>
        <w:pStyle w:val="Subhead"/>
      </w:pPr>
      <w:r>
        <w:t>Energy Companies</w:t>
      </w:r>
    </w:p>
    <w:p>
      <w:pPr>
        <w:pStyle w:val="BodyExtract"/>
      </w:pPr>
      <w:r>
        <w:t>Ensuring worker safety in high-risk energy sector environments.</w:t>
      </w:r>
    </w:p>
    <w:p>
      <w:pPr>
        <w:pStyle w:val="Subhead"/>
      </w:pPr>
      <w:r>
        <w:t>Construction Firms</w:t>
      </w:r>
    </w:p>
    <w:p>
      <w:pPr>
        <w:pStyle w:val="BodyExtract"/>
      </w:pPr>
      <w:r>
        <w:t>Reducing injury risks in physically demanding construction roles.</w:t>
      </w:r>
    </w:p>
    <w:p>
      <w:pPr>
        <w:pStyle w:val="Subhead"/>
      </w:pPr>
      <w:r>
        <w:t>Private Education</w:t>
      </w:r>
    </w:p>
    <w:p>
      <w:pPr>
        <w:pStyle w:val="BodyExtract"/>
      </w:pPr>
      <w:r>
        <w:t>Supporting educational institutions with employee health and safety programs.</w:t>
      </w:r>
    </w:p>
    <w:p>
      <w:pPr>
        <w:pStyle w:val="Subhead"/>
      </w:pPr>
      <w:r>
        <w:t>Local Governments</w:t>
      </w:r>
    </w:p>
    <w:p>
      <w:pPr>
        <w:pStyle w:val="BodyExtract"/>
      </w:pPr>
      <w:r>
        <w:t>Helping public agencies manage employee health costs and compliance.</w:t>
      </w:r>
    </w:p>
    <w:p>
      <w:pPr>
        <w:pStyle w:val="Subhead"/>
      </w:pPr>
      <w:r>
        <w:t>Public Safety</w:t>
      </w:r>
    </w:p>
    <w:p>
      <w:pPr>
        <w:pStyle w:val="BodyExtract"/>
      </w:pPr>
      <w:r>
        <w:t>Ensuring first responders meet critical physical and medical standards.</w:t>
      </w:r>
    </w:p>
    <w:p>
      <w:pPr>
        <w:pStyle w:val="VisualNote"/>
      </w:pPr>
      <w:r>
        <w:rPr>
          <w:b/>
        </w:rPr>
        <w:t xml:space="preserve">Visual context: </w:t>
      </w:r>
      <w:r>
        <w:t>Industry/facility icons aligned with the listed sectors.</w:t>
      </w:r>
    </w:p>
    <w:p>
      <w:r>
        <w:br w:type="page"/>
      </w:r>
    </w:p>
    <w:p>
      <w:pPr>
        <w:pStyle w:val="SlideNumber"/>
      </w:pPr>
      <w:r>
        <w:t>SLIDE 18 OF 24</w:t>
      </w:r>
    </w:p>
    <w:p>
      <w:pPr>
        <w:pStyle w:val="SlideTitle"/>
      </w:pPr>
      <w:r>
        <w:t>Medical &amp; Occupational Health Standards</w:t>
      </w:r>
    </w:p>
    <w:p>
      <w:pPr>
        <w:spacing w:after="160"/>
        <w:pBdr>
          <w:bottom w:val="single" w:sz="10" w:space="1" w:color="267E97"/>
        </w:pBdr>
      </w:pPr>
    </w:p>
    <w:p>
      <w:pPr>
        <w:pStyle w:val="BodyExtract"/>
      </w:pPr>
      <w:r>
        <w:t>Occu-Med coordinates medical evaluations across a wide range of industries, job classes, and regulatory environments. To ensure every examination is lawful, defensible, and aligned with the requirements of the position or contract, our processes adhere to the external medical and occupational standards that govern each workforce sector. The following guidelines represent the primary federal, state, and industry-specific standards that define when medical exams may occur, what medical criteria apply, and how fitness for duty is determined.</w:t>
      </w:r>
    </w:p>
    <w:p>
      <w:pPr>
        <w:pStyle w:val="VisualNote"/>
      </w:pPr>
      <w:r>
        <w:rPr>
          <w:b/>
        </w:rPr>
        <w:t xml:space="preserve">Visual context: </w:t>
      </w:r>
      <w:r>
        <w:t>Illustrated pilot, firefighter, lifeguard, law-enforcement officer, and military service member.</w:t>
      </w:r>
    </w:p>
    <w:p>
      <w:r>
        <w:br w:type="page"/>
      </w:r>
    </w:p>
    <w:p>
      <w:pPr>
        <w:pStyle w:val="SlideNumber"/>
      </w:pPr>
      <w:r>
        <w:t>SLIDE 19 OF 24</w:t>
      </w:r>
    </w:p>
    <w:p>
      <w:pPr>
        <w:pStyle w:val="SlideTitle"/>
      </w:pPr>
      <w:r>
        <w:t>Medical Standards</w:t>
      </w:r>
    </w:p>
    <w:p>
      <w:pPr>
        <w:spacing w:after="160"/>
        <w:pBdr>
          <w:bottom w:val="single" w:sz="10" w:space="1" w:color="267E97"/>
        </w:pBdr>
      </w:pPr>
    </w:p>
    <w:p>
      <w:pPr>
        <w:pStyle w:val="Subhead"/>
      </w:pPr>
      <w:r>
        <w:t>Deployment &amp; Government Contract Medical Standards</w:t>
      </w:r>
    </w:p>
    <w:p>
      <w:pPr>
        <w:pStyle w:val="BodyExtract"/>
      </w:pPr>
      <w:r>
        <w:t>Used for DOD/DOS contractors supporting U.S. missions abroad.</w:t>
      </w:r>
    </w:p>
    <w:p>
      <w:pPr>
        <w:pStyle w:val="BodyExtract"/>
        <w:ind w:left="288" w:hanging="187"/>
      </w:pPr>
      <w:r>
        <w:rPr>
          <w:b/>
        </w:rPr>
        <w:t xml:space="preserve">• </w:t>
      </w:r>
      <w:r>
        <w:t>MOD 18 Deployment Guideline</w:t>
      </w:r>
    </w:p>
    <w:p>
      <w:pPr>
        <w:pStyle w:val="BodyExtract"/>
        <w:ind w:left="288" w:hanging="187"/>
      </w:pPr>
      <w:r>
        <w:rPr>
          <w:b/>
        </w:rPr>
        <w:t xml:space="preserve">• </w:t>
      </w:r>
      <w:r>
        <w:t>AOR Specific Deployment Medical Standards</w:t>
      </w:r>
    </w:p>
    <w:p>
      <w:pPr>
        <w:pStyle w:val="BodyExtract"/>
        <w:ind w:left="288" w:hanging="187"/>
      </w:pPr>
      <w:r>
        <w:rPr>
          <w:b/>
        </w:rPr>
        <w:t xml:space="preserve">• </w:t>
      </w:r>
      <w:r>
        <w:t>DoS Medical Clearance Guidelines</w:t>
      </w:r>
    </w:p>
    <w:p>
      <w:pPr>
        <w:pStyle w:val="Subhead"/>
      </w:pPr>
      <w:r>
        <w:t>Operational &amp; Public Safety Medical Standard</w:t>
      </w:r>
    </w:p>
    <w:p>
      <w:pPr>
        <w:pStyle w:val="BodyExtract"/>
      </w:pPr>
      <w:r>
        <w:t>Industry-specific federal or national standards for safety-sensitive jobs.</w:t>
      </w:r>
    </w:p>
    <w:p>
      <w:pPr>
        <w:pStyle w:val="BodyExtract"/>
        <w:ind w:left="288" w:hanging="187"/>
      </w:pPr>
      <w:r>
        <w:rPr>
          <w:b/>
        </w:rPr>
        <w:t xml:space="preserve">• </w:t>
      </w:r>
      <w:r>
        <w:t>FMCSA / DOT Medical Standards</w:t>
      </w:r>
    </w:p>
    <w:p>
      <w:pPr>
        <w:pStyle w:val="BodyExtract"/>
        <w:ind w:left="288" w:hanging="187"/>
      </w:pPr>
      <w:r>
        <w:rPr>
          <w:b/>
        </w:rPr>
        <w:t xml:space="preserve">• </w:t>
      </w:r>
      <w:r>
        <w:t>POST Medical Guidelines (Law Enforcement)</w:t>
      </w:r>
    </w:p>
    <w:p>
      <w:pPr>
        <w:pStyle w:val="BodyExtract"/>
        <w:ind w:left="288" w:hanging="187"/>
      </w:pPr>
      <w:r>
        <w:rPr>
          <w:b/>
        </w:rPr>
        <w:t xml:space="preserve">• </w:t>
      </w:r>
      <w:r>
        <w:t>NFPA Medical Standards (Fire Agencies)</w:t>
      </w:r>
    </w:p>
    <w:p>
      <w:pPr>
        <w:pStyle w:val="BodyExtract"/>
        <w:ind w:left="288" w:hanging="187"/>
      </w:pPr>
      <w:r>
        <w:rPr>
          <w:b/>
        </w:rPr>
        <w:t xml:space="preserve">• </w:t>
      </w:r>
      <w:r>
        <w:t>FAA Aviation Medical Standards (Pilots, Aircrew, ATC)</w:t>
      </w:r>
    </w:p>
    <w:p>
      <w:pPr>
        <w:pStyle w:val="BodyExtract"/>
        <w:ind w:left="288" w:hanging="187"/>
      </w:pPr>
      <w:r>
        <w:rPr>
          <w:b/>
        </w:rPr>
        <w:t xml:space="preserve">• </w:t>
      </w:r>
      <w:r>
        <w:t>USCG Medical Standards (Maritime Personnel)</w:t>
      </w:r>
    </w:p>
    <w:p>
      <w:pPr>
        <w:pStyle w:val="BodyExtract"/>
        <w:ind w:left="288" w:hanging="187"/>
      </w:pPr>
      <w:r>
        <w:rPr>
          <w:b/>
        </w:rPr>
        <w:t xml:space="preserve">• </w:t>
      </w:r>
      <w:r>
        <w:t>OSHA Medical Surveillance Programs</w:t>
      </w:r>
    </w:p>
    <w:p>
      <w:pPr>
        <w:pStyle w:val="BodyExtract"/>
        <w:ind w:left="288" w:hanging="187"/>
      </w:pPr>
      <w:r>
        <w:rPr>
          <w:b/>
        </w:rPr>
        <w:t xml:space="preserve">• </w:t>
      </w:r>
      <w:r>
        <w:t>OEUK Medical Standards (Offshore Energies UK)</w:t>
      </w:r>
    </w:p>
    <w:p>
      <w:pPr>
        <w:pStyle w:val="VisualNote"/>
      </w:pPr>
      <w:r>
        <w:rPr>
          <w:b/>
        </w:rPr>
        <w:t xml:space="preserve">Visual context: </w:t>
      </w:r>
      <w:r>
        <w:t>Illustrated workers in maintenance, food service, industrial/construction roles, plus a commercial truck.</w:t>
      </w:r>
    </w:p>
    <w:p>
      <w:r>
        <w:br w:type="page"/>
      </w:r>
    </w:p>
    <w:p>
      <w:pPr>
        <w:pStyle w:val="SlideNumber"/>
      </w:pPr>
      <w:r>
        <w:t>SLIDE 20 OF 24</w:t>
      </w:r>
    </w:p>
    <w:p>
      <w:pPr>
        <w:pStyle w:val="SlideTitle"/>
      </w:pPr>
      <w:r>
        <w:t>Our Core Services</w:t>
      </w:r>
    </w:p>
    <w:p>
      <w:pPr>
        <w:spacing w:after="160"/>
        <w:pBdr>
          <w:bottom w:val="single" w:sz="10" w:space="1" w:color="267E97"/>
        </w:pBdr>
      </w:pPr>
    </w:p>
    <w:p>
      <w:pPr>
        <w:pStyle w:val="Subhead"/>
      </w:pPr>
      <w:r>
        <w:t>Pre-Placement Medical Evaluations</w:t>
      </w:r>
    </w:p>
    <w:p>
      <w:pPr>
        <w:pStyle w:val="BodyExtract"/>
      </w:pPr>
      <w:r>
        <w:t>Our proprietary methodology determines if candidates can safely perform essential job functions with or without accommodations, meeting all job and legal requirements. Thorough, legally defensible, and delivered promptly.</w:t>
      </w:r>
    </w:p>
    <w:p>
      <w:pPr>
        <w:pStyle w:val="Subhead"/>
      </w:pPr>
      <w:r>
        <w:t>Deployment Medical Readiness</w:t>
      </w:r>
    </w:p>
    <w:p>
      <w:pPr>
        <w:pStyle w:val="BodyExtract"/>
      </w:pPr>
      <w:r>
        <w:t>Ensuring employees traveling overseas for Department of Defense, State, or other assignments meet all medical requirements and immunization needs through our global network.</w:t>
      </w:r>
    </w:p>
    <w:p>
      <w:pPr>
        <w:pStyle w:val="Subhead"/>
      </w:pPr>
      <w:r>
        <w:t>Fitness-for-Duty &amp; Return-to-Work</w:t>
      </w:r>
    </w:p>
    <w:p>
      <w:pPr>
        <w:pStyle w:val="BodyExtract"/>
      </w:pPr>
      <w:r>
        <w:t>Evaluating employees with diminished performance or returning from medical leave to determine safe and efficient work capability, identifying reasonable accommodations where needed.</w:t>
      </w:r>
    </w:p>
    <w:p>
      <w:pPr>
        <w:pStyle w:val="VisualNote"/>
      </w:pPr>
      <w:r>
        <w:rPr>
          <w:b/>
        </w:rPr>
        <w:t xml:space="preserve">Visual context: </w:t>
      </w:r>
      <w:r>
        <w:t>Illustrated professional/workforce figures with laptop computers.</w:t>
      </w:r>
    </w:p>
    <w:p>
      <w:r>
        <w:br w:type="page"/>
      </w:r>
    </w:p>
    <w:p>
      <w:pPr>
        <w:pStyle w:val="SlideNumber"/>
      </w:pPr>
      <w:r>
        <w:t>SLIDE 21 OF 24</w:t>
      </w:r>
    </w:p>
    <w:p>
      <w:pPr>
        <w:pStyle w:val="SlideTitle"/>
      </w:pPr>
      <w:r>
        <w:t>Additional Services</w:t>
      </w:r>
    </w:p>
    <w:p>
      <w:pPr>
        <w:spacing w:after="160"/>
        <w:pBdr>
          <w:bottom w:val="single" w:sz="10" w:space="1" w:color="267E97"/>
        </w:pBdr>
      </w:pPr>
    </w:p>
    <w:p>
      <w:pPr>
        <w:pStyle w:val="Subhead"/>
      </w:pPr>
      <w:r>
        <w:t>Periodic Medical Evaluations</w:t>
      </w:r>
    </w:p>
    <w:p>
      <w:pPr>
        <w:pStyle w:val="BodyExtract"/>
      </w:pPr>
      <w:r>
        <w:t>Scheduling evaluations, monitoring exposures, and confirming that all applicable regulatory compliance standards are met.</w:t>
      </w:r>
    </w:p>
    <w:p>
      <w:pPr>
        <w:pStyle w:val="Subhead"/>
      </w:pPr>
      <w:r>
        <w:t>Comprehensive Immunizations</w:t>
      </w:r>
    </w:p>
    <w:p>
      <w:pPr>
        <w:pStyle w:val="BodyExtract"/>
      </w:pPr>
      <w:r>
        <w:t>Wide range of required immunizations for overseas deployment and international travel compliance.</w:t>
      </w:r>
    </w:p>
    <w:p>
      <w:pPr>
        <w:pStyle w:val="Subhead"/>
      </w:pPr>
      <w:r>
        <w:t>Embassy-Linked Medical Clearance</w:t>
      </w:r>
    </w:p>
    <w:p>
      <w:pPr>
        <w:pStyle w:val="BodyExtract"/>
      </w:pPr>
      <w:r>
        <w:t>We provide end-to-end medical evaluation services for employment abroad, including compliance with embassy health protocols and visa medical requirements.</w:t>
      </w:r>
    </w:p>
    <w:p>
      <w:pPr>
        <w:pStyle w:val="Subhead"/>
      </w:pPr>
      <w:r>
        <w:t>Post Deployment Health Assessment</w:t>
      </w:r>
    </w:p>
    <w:p>
      <w:pPr>
        <w:pStyle w:val="BodyExtract"/>
      </w:pPr>
      <w:r>
        <w:t>Comprehensive screenings conducted after deployment to evaluate physical and mental health status.</w:t>
      </w:r>
    </w:p>
    <w:p>
      <w:pPr>
        <w:pStyle w:val="VisualNote"/>
      </w:pPr>
      <w:r>
        <w:rPr>
          <w:b/>
        </w:rPr>
        <w:t xml:space="preserve">Visual context: </w:t>
      </w:r>
      <w:r>
        <w:t>International certificate/globe illustration and vaccination/scheduling imagery.</w:t>
      </w:r>
    </w:p>
    <w:p>
      <w:r>
        <w:br w:type="page"/>
      </w:r>
    </w:p>
    <w:p>
      <w:pPr>
        <w:pStyle w:val="SlideNumber"/>
      </w:pPr>
      <w:r>
        <w:t>SLIDE 22 OF 24</w:t>
      </w:r>
    </w:p>
    <w:p>
      <w:pPr>
        <w:pStyle w:val="SlideTitle"/>
      </w:pPr>
      <w:r>
        <w:t>Occu-Med’s Global Network ~15,000+</w:t>
      </w:r>
    </w:p>
    <w:p>
      <w:pPr>
        <w:spacing w:after="160"/>
        <w:pBdr>
          <w:bottom w:val="single" w:sz="10" w:space="1" w:color="267E97"/>
        </w:pBdr>
      </w:pPr>
    </w:p>
    <w:p>
      <w:pPr>
        <w:pStyle w:val="BodyExtract"/>
      </w:pPr>
      <w:r>
        <w:t>Affiliated medical and dental facilities worldwide enable expedited evaluations anywhere. Our comprehensive network includes occupational health specialists, primary care practitioners, and sub-specialists in cardiology, neurology, and orthopedics. This infrastructure provides clients with unmatched flexibility in how, when, and where evaluations are conducted, ensuring consistent quality and rapid response times globally.</w:t>
      </w:r>
    </w:p>
    <w:p>
      <w:pPr>
        <w:pStyle w:val="Subhead"/>
      </w:pPr>
      <w:r>
        <w:t>Regions Shown</w:t>
      </w:r>
    </w:p>
    <w:p>
      <w:pPr>
        <w:pStyle w:val="BodyExtract"/>
        <w:ind w:left="288" w:hanging="187"/>
      </w:pPr>
      <w:r>
        <w:rPr>
          <w:b/>
        </w:rPr>
        <w:t xml:space="preserve">• </w:t>
      </w:r>
      <w:r>
        <w:t>North America</w:t>
      </w:r>
    </w:p>
    <w:p>
      <w:pPr>
        <w:pStyle w:val="BodyExtract"/>
        <w:ind w:left="288" w:hanging="187"/>
      </w:pPr>
      <w:r>
        <w:rPr>
          <w:b/>
        </w:rPr>
        <w:t xml:space="preserve">• </w:t>
      </w:r>
      <w:r>
        <w:t>Europe</w:t>
      </w:r>
    </w:p>
    <w:p>
      <w:pPr>
        <w:pStyle w:val="BodyExtract"/>
        <w:ind w:left="288" w:hanging="187"/>
      </w:pPr>
      <w:r>
        <w:rPr>
          <w:b/>
        </w:rPr>
        <w:t xml:space="preserve">• </w:t>
      </w:r>
      <w:r>
        <w:t>Asia</w:t>
      </w:r>
    </w:p>
    <w:p>
      <w:pPr>
        <w:pStyle w:val="BodyExtract"/>
        <w:ind w:left="288" w:hanging="187"/>
      </w:pPr>
      <w:r>
        <w:rPr>
          <w:b/>
        </w:rPr>
        <w:t xml:space="preserve">• </w:t>
      </w:r>
      <w:r>
        <w:t>South America</w:t>
      </w:r>
    </w:p>
    <w:p>
      <w:pPr>
        <w:pStyle w:val="BodyExtract"/>
        <w:ind w:left="288" w:hanging="187"/>
      </w:pPr>
      <w:r>
        <w:rPr>
          <w:b/>
        </w:rPr>
        <w:t xml:space="preserve">• </w:t>
      </w:r>
      <w:r>
        <w:t>Africa</w:t>
      </w:r>
    </w:p>
    <w:p>
      <w:pPr>
        <w:pStyle w:val="BodyExtract"/>
        <w:ind w:left="288" w:hanging="187"/>
      </w:pPr>
      <w:r>
        <w:rPr>
          <w:b/>
        </w:rPr>
        <w:t xml:space="preserve">• </w:t>
      </w:r>
      <w:r>
        <w:t>Australia</w:t>
      </w:r>
    </w:p>
    <w:p>
      <w:pPr>
        <w:pStyle w:val="VisualNote"/>
      </w:pPr>
      <w:r>
        <w:rPr>
          <w:b/>
        </w:rPr>
        <w:t xml:space="preserve">Visual context: </w:t>
      </w:r>
      <w:r>
        <w:t>World-region map with global connection lines.</w:t>
      </w:r>
    </w:p>
    <w:p>
      <w:r>
        <w:br w:type="page"/>
      </w:r>
    </w:p>
    <w:p>
      <w:pPr>
        <w:pStyle w:val="SlideNumber"/>
      </w:pPr>
      <w:r>
        <w:t>SLIDE 23 OF 24</w:t>
      </w:r>
    </w:p>
    <w:p>
      <w:pPr>
        <w:pStyle w:val="SlideTitle"/>
      </w:pPr>
      <w:r>
        <w:t>Occu-Med’s Core Values</w:t>
      </w:r>
    </w:p>
    <w:p>
      <w:pPr>
        <w:spacing w:after="160"/>
        <w:pBdr>
          <w:bottom w:val="single" w:sz="10" w:space="1" w:color="267E97"/>
        </w:pBdr>
      </w:pPr>
    </w:p>
    <w:p>
      <w:pPr>
        <w:pStyle w:val="Subhead"/>
      </w:pPr>
      <w:r>
        <w:t>HUMILITY</w:t>
      </w:r>
    </w:p>
    <w:p>
      <w:pPr>
        <w:pStyle w:val="BodyExtract"/>
      </w:pPr>
      <w:r>
        <w:t>We lead with respect and value every contribution.</w:t>
      </w:r>
    </w:p>
    <w:p>
      <w:pPr>
        <w:pStyle w:val="Subhead"/>
      </w:pPr>
      <w:r>
        <w:t>POSITIVITY</w:t>
      </w:r>
    </w:p>
    <w:p>
      <w:pPr>
        <w:pStyle w:val="BodyExtract"/>
      </w:pPr>
      <w:r>
        <w:t>We cultivate a supportive, solution-oriented culture.</w:t>
      </w:r>
    </w:p>
    <w:p>
      <w:pPr>
        <w:pStyle w:val="Subhead"/>
      </w:pPr>
      <w:r>
        <w:t>CUSTOMER SERVICE</w:t>
      </w:r>
    </w:p>
    <w:p>
      <w:pPr>
        <w:pStyle w:val="BodyExtract"/>
      </w:pPr>
      <w:r>
        <w:t>We deliver personalized service with care.</w:t>
      </w:r>
    </w:p>
    <w:p>
      <w:pPr>
        <w:pStyle w:val="Subhead"/>
      </w:pPr>
      <w:r>
        <w:t>QUALITY</w:t>
      </w:r>
    </w:p>
    <w:p>
      <w:pPr>
        <w:pStyle w:val="BodyExtract"/>
      </w:pPr>
      <w:r>
        <w:t>We uphold excellence in every facet of our work.</w:t>
      </w:r>
    </w:p>
    <w:p>
      <w:pPr>
        <w:pStyle w:val="Subhead"/>
      </w:pPr>
      <w:r>
        <w:t>INTEGRITY</w:t>
      </w:r>
    </w:p>
    <w:p>
      <w:pPr>
        <w:pStyle w:val="BodyExtract"/>
      </w:pPr>
      <w:r>
        <w:t>We operate with transparency, ethics, and accountability.</w:t>
      </w:r>
    </w:p>
    <w:p>
      <w:pPr>
        <w:pStyle w:val="Subhead"/>
      </w:pPr>
      <w:r>
        <w:t>DILIGENCE</w:t>
      </w:r>
    </w:p>
    <w:p>
      <w:pPr>
        <w:pStyle w:val="BodyExtract"/>
      </w:pPr>
      <w:r>
        <w:t>We approach every task with precision and persistence.</w:t>
      </w:r>
    </w:p>
    <w:p>
      <w:pPr>
        <w:pStyle w:val="VisualNote"/>
      </w:pPr>
      <w:r>
        <w:rPr>
          <w:b/>
        </w:rPr>
        <w:t xml:space="preserve">Visual context: </w:t>
      </w:r>
      <w:r>
        <w:t>Six value illustrations corresponding to Humility, Positivity, Customer Service, Quality, Integrity, and Diligence.</w:t>
      </w:r>
    </w:p>
    <w:p>
      <w:r>
        <w:br w:type="page"/>
      </w:r>
    </w:p>
    <w:p>
      <w:pPr>
        <w:pStyle w:val="SlideNumber"/>
      </w:pPr>
      <w:r>
        <w:t>SLIDE 24 OF 24</w:t>
      </w:r>
    </w:p>
    <w:p>
      <w:pPr>
        <w:pStyle w:val="SlideTitle"/>
      </w:pPr>
      <w:r>
        <w:t>Department Leadership</w:t>
      </w:r>
    </w:p>
    <w:p>
      <w:pPr>
        <w:spacing w:after="160"/>
        <w:pBdr>
          <w:bottom w:val="single" w:sz="10" w:space="1" w:color="267E97"/>
        </w:pBdr>
      </w:pPr>
    </w:p>
    <w:p>
      <w:pPr>
        <w:pStyle w:val="Subhead"/>
      </w:pPr>
      <w:r>
        <w:t>Network Management Department</w:t>
      </w:r>
    </w:p>
    <w:p>
      <w:pPr>
        <w:pStyle w:val="BodyExtract"/>
      </w:pPr>
      <w:r>
        <w:t>Directed by Matt Caskey | Email: mcaskey@occu-med.com</w:t>
      </w:r>
    </w:p>
    <w:p>
      <w:pPr>
        <w:pStyle w:val="Subhead"/>
      </w:pPr>
      <w:r>
        <w:t>Operations Department</w:t>
      </w:r>
    </w:p>
    <w:p>
      <w:pPr>
        <w:pStyle w:val="BodyExtract"/>
      </w:pPr>
      <w:r>
        <w:t>Directed by Chase Coyle | Email: ccoyle@occu-med.com</w:t>
      </w:r>
    </w:p>
    <w:p>
      <w:pPr>
        <w:pStyle w:val="Subhead"/>
      </w:pPr>
      <w:r>
        <w:t>Scheduling Department</w:t>
      </w:r>
    </w:p>
    <w:p>
      <w:pPr>
        <w:pStyle w:val="BodyExtract"/>
      </w:pPr>
      <w:r>
        <w:t>Directed by Elizabeth Matthies | Email: elizabeth.matthies@occu-med.com</w:t>
      </w:r>
    </w:p>
    <w:p>
      <w:pPr>
        <w:pStyle w:val="Subhead"/>
      </w:pPr>
      <w:r>
        <w:t>ExamQA Department</w:t>
      </w:r>
    </w:p>
    <w:p>
      <w:pPr>
        <w:pStyle w:val="BodyExtract"/>
      </w:pPr>
      <w:r>
        <w:t>Directed by Dana Tamayo | Email: dtamayo@occu-med.com</w:t>
      </w:r>
    </w:p>
    <w:p>
      <w:pPr>
        <w:pStyle w:val="Subhead"/>
      </w:pPr>
      <w:r>
        <w:t>Finance Department</w:t>
      </w:r>
    </w:p>
    <w:p>
      <w:pPr>
        <w:pStyle w:val="BodyExtract"/>
      </w:pPr>
      <w:r>
        <w:t>Directed by Alyson Tillery | Email: atillery@occu-med.com</w:t>
      </w:r>
    </w:p>
    <w:p>
      <w:pPr>
        <w:pStyle w:val="VisualNote"/>
      </w:pPr>
      <w:r>
        <w:rPr>
          <w:b/>
        </w:rPr>
        <w:t xml:space="preserve">Visual context: </w:t>
      </w:r>
      <w:r>
        <w:t>Top banner includes a "46 YEARS" emblem and illustrated workforce figures.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C5C67"/>
        <w:sz w:val="15"/>
      </w:rPr>
      <w:t xml:space="preserve">Source: Occu-Med - Powerpoint (1).pdf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67E97"/>
        <w:sz w:val="15"/>
      </w:rPr>
      <w:t>OCCU-MED  |  COMPLETE POWERPOINT TEXT EXTRACTION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lideNumber">
    <w:name w:val="Slide Number"/>
    <w:pPr>
      <w:keepNext/>
      <w:spacing w:after="80"/>
    </w:pPr>
    <w:rPr>
      <w:rFonts w:ascii="Arial" w:hAnsi="Arial"/>
      <w:b/>
      <w:color w:val="267E97"/>
      <w:sz w:val="16"/>
    </w:rPr>
  </w:style>
  <w:style w:type="paragraph" w:customStyle="1" w:styleId="SlideTitle">
    <w:name w:val="Slide Title"/>
    <w:pPr>
      <w:keepNext/>
      <w:spacing w:after="200"/>
    </w:pPr>
    <w:rPr>
      <w:rFonts w:ascii="Arial" w:hAnsi="Arial"/>
      <w:b/>
      <w:color w:val="081F2E"/>
      <w:sz w:val="40"/>
    </w:rPr>
  </w:style>
  <w:style w:type="paragraph" w:customStyle="1" w:styleId="Subhead">
    <w:name w:val="Subhead"/>
    <w:pPr>
      <w:keepNext/>
      <w:spacing w:before="120" w:after="60"/>
    </w:pPr>
    <w:rPr>
      <w:rFonts w:ascii="Arial" w:hAnsi="Arial"/>
      <w:b/>
      <w:color w:val="267E97"/>
      <w:sz w:val="23"/>
    </w:rPr>
  </w:style>
  <w:style w:type="paragraph" w:customStyle="1" w:styleId="BodyExtract">
    <w:name w:val="Body Extract"/>
    <w:pPr>
      <w:spacing w:after="120" w:line="259" w:lineRule="auto"/>
    </w:pPr>
    <w:rPr>
      <w:rFonts w:ascii="Arial" w:hAnsi="Arial"/>
      <w:color w:val="1F2B33"/>
      <w:sz w:val="21"/>
    </w:rPr>
  </w:style>
  <w:style w:type="paragraph" w:customStyle="1" w:styleId="VisualNote">
    <w:name w:val="Visual Note"/>
    <w:pPr>
      <w:spacing w:before="120" w:after="40"/>
    </w:pPr>
    <w:rPr>
      <w:rFonts w:ascii="Arial" w:hAnsi="Arial"/>
      <w:i/>
      <w:color w:val="4C5C6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