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The Occu-Med Story</w:t>
      </w:r>
    </w:p>
    <w:p>
      <w:pPr>
        <w:spacing w:after="300"/>
      </w:pPr>
      <w:r>
        <w:rPr>
          <w:i/>
          <w:iCs/>
          <w:color w:val="595959"/>
          <w:sz w:val="22"/>
          <w:szCs w:val="22"/>
        </w:rPr>
        <w:t xml:space="preserve">Company history and profile, 1979–present — expanded with outside research</w:t>
      </w:r>
    </w:p>
    <w:p>
      <w:pPr>
        <w:pStyle w:val="Heading2"/>
        <w:spacing w:after="150" w:before="320"/>
      </w:pPr>
      <w:r>
        <w:t xml:space="preserve">Narrative</w:t>
      </w:r>
    </w:p>
    <w:p>
      <w:pPr>
        <w:spacing w:after="200"/>
      </w:pPr>
      <w:r>
        <w:rPr>
          <w:sz w:val="22"/>
          <w:szCs w:val="22"/>
        </w:rPr>
        <w:t xml:space="preserve">Occu-Med was founded in 1979 in Honolulu, Hawaii, by attorney Jim A. Johnson together with Dr. Devonna M. Kaji, a board-certified urologist, to help public and private employers reduce the costs tied to workforce health and safety. The company was born out of a crisis: workers' compensation claims were, at the time, threatening to bankrupt public agencies and private companies alike.</w:t>
      </w:r>
    </w:p>
    <w:p>
      <w:pPr>
        <w:spacing w:after="200"/>
      </w:pPr>
      <w:r>
        <w:rPr>
          <w:sz w:val="22"/>
          <w:szCs w:val="22"/>
        </w:rPr>
        <w:t xml:space="preserve">Johnson's own research, funded by the State of California, traced much of that cost to a specific and fixable pattern: a significant share of workplace injuries were linked to employees hired with pre-existing medical conditions that raised their risk of harm once on the job. Two numbers captured the stakes — 41% of all workplace injuries occurred during an employee's first year, and preventable injuries were costing employers thousands of dollars a day. The standard pre-placement exam of the era wasn't built to catch any of this: general practitioners lacked job-specific and legal knowledge, physicians were asked to make placement calls without real detail on job demands, and the traditional local-clinic exam model simply wasn't preventing injuries.</w:t>
      </w:r>
    </w:p>
    <w:p>
      <w:pPr>
        <w:spacing w:after="200"/>
      </w:pPr>
      <w:r>
        <w:rPr>
          <w:sz w:val="22"/>
          <w:szCs w:val="22"/>
        </w:rPr>
        <w:t xml:space="preserve">Johnson and Kaji's answer was to stop treating placement as a purely medical question. Any doctor can determine whether someone is "healthy" — Occu-Med set out, from day one, to weigh medical findings, legal requirements, and job-specific demands together in a single, defensible placement decision. That three-dimensional model is still the company's core methodology, today marketed under the name EXAMQA.</w:t>
      </w:r>
    </w:p>
    <w:p>
      <w:pPr>
        <w:spacing w:after="200"/>
      </w:pPr>
      <w:r>
        <w:rPr>
          <w:sz w:val="22"/>
          <w:szCs w:val="22"/>
        </w:rPr>
        <w:t xml:space="preserve">Occu-Med, Ltd. was formally incorporated as a Delaware corporation in October 2000, putting a corporate structure around the practice Johnson and Kaji had been building for two decades. The next stretch of growth is documented in company and federal records: a Fresno State student joined the company's EXAMQA department as an intern in 2003 and was promoted to Director of Business Development by 2006 — the same year Occu-Med expanded its evaluation services to international companies for the first time. Over the following decade, that push built out Occu-Med's international provider network and grew the client base to more than 1,000 public agencies and Fortune 500 companies, eventually accounting for more than 60% of the company's target government-contracting market. In October 2007, Occu-Med formally registered as a federal contractor, opening the door to direct work for the Department of Defense and Department of State — the deployment-readiness business that anchors much of the company today.</w:t>
      </w:r>
    </w:p>
    <w:p>
      <w:pPr>
        <w:spacing w:after="200"/>
      </w:pPr>
      <w:r>
        <w:rPr>
          <w:sz w:val="22"/>
          <w:szCs w:val="22"/>
        </w:rPr>
        <w:t xml:space="preserve">By the mid-2010s, that growth was drawing outside recognition. Occu-Med had built pre-placement infrastructure across more than 36 countries, and in one mission at Camp Arifjan, Kuwait, ten Occu-Med personnel completed more than 2,500 pre-placement medical evaluations while staffing and training 67 workers to run the base's Troops Medical Clinic, Class VIII Medical Warehouse, and Biomedical Engineering and Maintenance Shop. Around 2017, still a family-run business, Occu-Med was honored with the Rising Star award from the Institute for Family Business at Fresno State, in the same period reporting that a Fortune 500 client's workplace-injury costs had fallen by $54 million over seven years under Occu-Med's program.</w:t>
      </w:r>
    </w:p>
    <w:p>
      <w:pPr>
        <w:spacing w:after="200"/>
      </w:pPr>
      <w:r>
        <w:rPr>
          <w:sz w:val="22"/>
          <w:szCs w:val="22"/>
        </w:rPr>
        <w:t xml:space="preserve">Company leadership transitioned further in 2018 and 2021, and Occu-Med's global provider network — organized under dedicated Network Management, Scheduling, and Provider Relations teams — grew past 15,000 facilities across more than 50 countries, including sustained work supporting deployments to Kuwait, Qatar, the U.A.E., Iraq, Afghanistan, Bosnia, Kosovo, Turkey, Saudi Arabia, and Japan, among others. Today, roughly 46 years after its founding, Occu-Med is a nationally recognized leader in employment medical evaluations, coordinating care for more than one million employees a year, with 500-plus public safety clients on top of the defense and government contracting base the company was originally built to serve.</w:t>
      </w:r>
    </w:p>
    <w:p>
      <w:pPr>
        <w:spacing w:after="200"/>
      </w:pPr>
      <w:r>
        <w:rPr>
          <w:sz w:val="22"/>
          <w:szCs w:val="22"/>
        </w:rPr>
        <w:t xml:space="preserve">Every one of Occu-Med's current service lines — EXAMQA pre-placement evaluations, deployment and pre/post-deployment health assessments, fitness-for-duty and return-to-work evaluations, periodic surveillance, immunizations, and embassy-linked medical clearance — traces back to that original 1979 insight: that safe placement takes medical judgment informed by legal and occupational context, not medical judgment alone. That principle is still reflected in the values the company operates by day to day: humility, positivity, customer service, quality, integrity, and diligence.</w:t>
      </w:r>
    </w:p>
    <w:p>
      <w:pPr>
        <w:pStyle w:val="Heading2"/>
        <w:spacing w:after="150" w:before="320"/>
      </w:pPr>
      <w:r>
        <w:t xml:space="preserve">Company Timeline</w:t>
      </w:r>
    </w:p>
    <w:p>
      <w:pPr>
        <w:pStyle w:val="ListParagraph"/>
        <w:numPr>
          <w:ilvl w:val="0"/>
          <w:numId w:val="2"/>
        </w:numPr>
        <w:spacing w:after="80"/>
      </w:pPr>
      <w:r>
        <w:rPr>
          <w:b/>
          <w:bCs/>
          <w:sz w:val="22"/>
          <w:szCs w:val="22"/>
        </w:rPr>
        <w:t xml:space="preserve">1979 — </w:t>
      </w:r>
      <w:r>
        <w:rPr>
          <w:sz w:val="22"/>
          <w:szCs w:val="22"/>
        </w:rPr>
        <w:t xml:space="preserve">Founded in Honolulu, Hawaii, by attorney Jim A. Johnson and Dr. Devonna M. Kaji, amid a workers'-compensation cost crisis for public agencies and private employers.</w:t>
      </w:r>
    </w:p>
    <w:p>
      <w:pPr>
        <w:pStyle w:val="ListParagraph"/>
        <w:numPr>
          <w:ilvl w:val="0"/>
          <w:numId w:val="2"/>
        </w:numPr>
        <w:spacing w:after="80"/>
      </w:pPr>
      <w:r>
        <w:rPr>
          <w:b/>
          <w:bCs/>
          <w:sz w:val="22"/>
          <w:szCs w:val="22"/>
        </w:rPr>
        <w:t xml:space="preserve">1979 — </w:t>
      </w:r>
      <w:r>
        <w:rPr>
          <w:sz w:val="22"/>
          <w:szCs w:val="22"/>
        </w:rPr>
        <w:t xml:space="preserve">State of California–funded research identifies pre-existing medical conditions as a major driver of first-year workplace injuries; Occu-Med's three-dimensional (medical + legal + job-demand) evaluation model is developed in response.</w:t>
      </w:r>
    </w:p>
    <w:p>
      <w:pPr>
        <w:pStyle w:val="ListParagraph"/>
        <w:numPr>
          <w:ilvl w:val="0"/>
          <w:numId w:val="2"/>
        </w:numPr>
        <w:spacing w:after="80"/>
      </w:pPr>
      <w:r>
        <w:rPr>
          <w:b/>
          <w:bCs/>
          <w:sz w:val="22"/>
          <w:szCs w:val="22"/>
        </w:rPr>
        <w:t xml:space="preserve">Oct. 2000 — </w:t>
      </w:r>
      <w:r>
        <w:rPr>
          <w:sz w:val="22"/>
          <w:szCs w:val="22"/>
        </w:rPr>
        <w:t xml:space="preserve">Occu-Med, Ltd. formally incorporated as a Delaware corporation.</w:t>
      </w:r>
    </w:p>
    <w:p>
      <w:pPr>
        <w:pStyle w:val="ListParagraph"/>
        <w:numPr>
          <w:ilvl w:val="0"/>
          <w:numId w:val="2"/>
        </w:numPr>
        <w:spacing w:after="80"/>
      </w:pPr>
      <w:r>
        <w:rPr>
          <w:b/>
          <w:bCs/>
          <w:sz w:val="22"/>
          <w:szCs w:val="22"/>
        </w:rPr>
        <w:t xml:space="preserve">2003 — </w:t>
      </w:r>
      <w:r>
        <w:rPr>
          <w:sz w:val="22"/>
          <w:szCs w:val="22"/>
        </w:rPr>
        <w:t xml:space="preserve">Future business-development leadership joins the company's EXAMQA department as a Fresno State student intern.</w:t>
      </w:r>
    </w:p>
    <w:p>
      <w:pPr>
        <w:pStyle w:val="ListParagraph"/>
        <w:numPr>
          <w:ilvl w:val="0"/>
          <w:numId w:val="2"/>
        </w:numPr>
        <w:spacing w:after="80"/>
      </w:pPr>
      <w:r>
        <w:rPr>
          <w:b/>
          <w:bCs/>
          <w:sz w:val="22"/>
          <w:szCs w:val="22"/>
        </w:rPr>
        <w:t xml:space="preserve">2006 — </w:t>
      </w:r>
      <w:r>
        <w:rPr>
          <w:sz w:val="22"/>
          <w:szCs w:val="22"/>
        </w:rPr>
        <w:t xml:space="preserve">Occu-Med expands its evaluation services to international companies for the first time; the 2003 intern is promoted to Director of Business Development.</w:t>
      </w:r>
    </w:p>
    <w:p>
      <w:pPr>
        <w:pStyle w:val="ListParagraph"/>
        <w:numPr>
          <w:ilvl w:val="0"/>
          <w:numId w:val="2"/>
        </w:numPr>
        <w:spacing w:after="80"/>
      </w:pPr>
      <w:r>
        <w:rPr>
          <w:b/>
          <w:bCs/>
          <w:sz w:val="22"/>
          <w:szCs w:val="22"/>
        </w:rPr>
        <w:t xml:space="preserve">Oct. 2007 — </w:t>
      </w:r>
      <w:r>
        <w:rPr>
          <w:sz w:val="22"/>
          <w:szCs w:val="22"/>
        </w:rPr>
        <w:t xml:space="preserve">Occu-Med formally registers as a U.S. federal contractor, opening direct DoD/DoS deployment-readiness work.</w:t>
      </w:r>
    </w:p>
    <w:p>
      <w:pPr>
        <w:pStyle w:val="ListParagraph"/>
        <w:numPr>
          <w:ilvl w:val="0"/>
          <w:numId w:val="2"/>
        </w:numPr>
        <w:spacing w:after="80"/>
      </w:pPr>
      <w:r>
        <w:rPr>
          <w:b/>
          <w:bCs/>
          <w:sz w:val="22"/>
          <w:szCs w:val="22"/>
        </w:rPr>
        <w:t xml:space="preserve">2007 — </w:t>
      </w:r>
      <w:r>
        <w:rPr>
          <w:sz w:val="22"/>
          <w:szCs w:val="22"/>
        </w:rPr>
        <w:t xml:space="preserve">Dedicated finance leadership joins as the global provider network passes 15,000 medical and dental facilities.</w:t>
      </w:r>
    </w:p>
    <w:p>
      <w:pPr>
        <w:pStyle w:val="ListParagraph"/>
        <w:numPr>
          <w:ilvl w:val="0"/>
          <w:numId w:val="2"/>
        </w:numPr>
        <w:spacing w:after="80"/>
      </w:pPr>
      <w:r>
        <w:rPr>
          <w:b/>
          <w:bCs/>
          <w:sz w:val="22"/>
          <w:szCs w:val="22"/>
        </w:rPr>
        <w:t xml:space="preserve">~2017 (reported) — </w:t>
      </w:r>
      <w:r>
        <w:rPr>
          <w:sz w:val="22"/>
          <w:szCs w:val="22"/>
        </w:rPr>
        <w:t xml:space="preserve">Pre-placement infrastructure spans 36+ countries; Occu-Med completes a large-scale evaluation and training mission at Camp Arifjan, Kuwait; the company receives the Rising Star award from the Institute for Family Business at Fresno State.</w:t>
      </w:r>
    </w:p>
    <w:p>
      <w:pPr>
        <w:pStyle w:val="ListParagraph"/>
        <w:numPr>
          <w:ilvl w:val="0"/>
          <w:numId w:val="2"/>
        </w:numPr>
        <w:spacing w:after="80"/>
      </w:pPr>
      <w:r>
        <w:rPr>
          <w:b/>
          <w:bCs/>
          <w:sz w:val="22"/>
          <w:szCs w:val="22"/>
        </w:rPr>
        <w:t xml:space="preserve">2018 — </w:t>
      </w:r>
      <w:r>
        <w:rPr>
          <w:sz w:val="22"/>
          <w:szCs w:val="22"/>
        </w:rPr>
        <w:t xml:space="preserve">Leadership transition: next generation takes on the Director of Operations role.</w:t>
      </w:r>
    </w:p>
    <w:p>
      <w:pPr>
        <w:pStyle w:val="ListParagraph"/>
        <w:numPr>
          <w:ilvl w:val="0"/>
          <w:numId w:val="2"/>
        </w:numPr>
        <w:spacing w:after="80"/>
      </w:pPr>
      <w:r>
        <w:rPr>
          <w:b/>
          <w:bCs/>
          <w:sz w:val="22"/>
          <w:szCs w:val="22"/>
        </w:rPr>
        <w:t xml:space="preserve">2021 — </w:t>
      </w:r>
      <w:r>
        <w:rPr>
          <w:sz w:val="22"/>
          <w:szCs w:val="22"/>
        </w:rPr>
        <w:t xml:space="preserve">Leadership transition: next generation takes on the President role.</w:t>
      </w:r>
    </w:p>
    <w:p>
      <w:pPr>
        <w:pStyle w:val="ListParagraph"/>
        <w:numPr>
          <w:ilvl w:val="0"/>
          <w:numId w:val="2"/>
        </w:numPr>
        <w:spacing w:after="80"/>
      </w:pPr>
      <w:r>
        <w:rPr>
          <w:b/>
          <w:bCs/>
          <w:sz w:val="22"/>
          <w:szCs w:val="22"/>
        </w:rPr>
        <w:t xml:space="preserve">Present (~46 yrs in) — </w:t>
      </w:r>
      <w:r>
        <w:rPr>
          <w:sz w:val="22"/>
          <w:szCs w:val="22"/>
        </w:rPr>
        <w:t xml:space="preserve">1M+ employees evaluated annually; 15,000+ network locations (recent company materials cite nearly 16,000) across 50+ countries; 500+ public safety clients; 1,000+ public-agency and Fortune 500 clients, representing 60%+ of the company's target government-contracting market.</w:t>
      </w:r>
    </w:p>
    <w:p>
      <w:pPr>
        <w:pStyle w:val="Heading2"/>
        <w:spacing w:after="150" w:before="320"/>
      </w:pPr>
      <w:r>
        <w:t xml:space="preserve">Outline</w:t>
      </w:r>
    </w:p>
    <w:p>
      <w:pPr>
        <w:pStyle w:val="Heading3"/>
        <w:spacing w:after="100" w:before="220"/>
      </w:pPr>
      <w:r>
        <w:t xml:space="preserve">I. Heritage &amp; Founding</w:t>
      </w:r>
    </w:p>
    <w:p>
      <w:pPr>
        <w:pStyle w:val="ListParagraph"/>
        <w:numPr>
          <w:ilvl w:val="0"/>
          <w:numId w:val="2"/>
        </w:numPr>
        <w:spacing w:after="60"/>
      </w:pPr>
      <w:r>
        <w:rPr>
          <w:sz w:val="22"/>
          <w:szCs w:val="22"/>
        </w:rPr>
        <w:t xml:space="preserve">Founded 1979, Honolulu, HI, by attorney Jim A. Johnson and Dr. Devonna M. Kaji (board-certified urologist, co-founder)</w:t>
      </w:r>
    </w:p>
    <w:p>
      <w:pPr>
        <w:pStyle w:val="ListParagraph"/>
        <w:numPr>
          <w:ilvl w:val="0"/>
          <w:numId w:val="2"/>
        </w:numPr>
        <w:spacing w:after="60"/>
      </w:pPr>
      <w:r>
        <w:rPr>
          <w:sz w:val="22"/>
          <w:szCs w:val="22"/>
        </w:rPr>
        <w:t xml:space="preserve">Born from a workers'-compensation crisis threatening to bankrupt agencies and employers</w:t>
      </w:r>
    </w:p>
    <w:p>
      <w:pPr>
        <w:pStyle w:val="ListParagraph"/>
        <w:numPr>
          <w:ilvl w:val="0"/>
          <w:numId w:val="2"/>
        </w:numPr>
        <w:spacing w:after="60"/>
      </w:pPr>
      <w:r>
        <w:rPr>
          <w:sz w:val="22"/>
          <w:szCs w:val="22"/>
        </w:rPr>
        <w:t xml:space="preserve">Formally incorporated as Occu-Med, Ltd. (Delaware corporation) in October 2000</w:t>
      </w:r>
    </w:p>
    <w:p>
      <w:pPr>
        <w:pStyle w:val="ListParagraph"/>
        <w:numPr>
          <w:ilvl w:val="0"/>
          <w:numId w:val="2"/>
        </w:numPr>
        <w:spacing w:after="60"/>
      </w:pPr>
      <w:r>
        <w:rPr>
          <w:sz w:val="22"/>
          <w:szCs w:val="22"/>
        </w:rPr>
        <w:t xml:space="preserve">Headquarters at 2121 West Bullard Avenue, Fresno, CA</w:t>
      </w:r>
    </w:p>
    <w:p>
      <w:pPr>
        <w:pStyle w:val="Heading3"/>
        <w:spacing w:after="100" w:before="220"/>
      </w:pPr>
      <w:r>
        <w:t xml:space="preserve">II. The Critical Discovery</w:t>
      </w:r>
    </w:p>
    <w:p>
      <w:pPr>
        <w:pStyle w:val="ListParagraph"/>
        <w:numPr>
          <w:ilvl w:val="0"/>
          <w:numId w:val="2"/>
        </w:numPr>
        <w:spacing w:after="60"/>
      </w:pPr>
      <w:r>
        <w:rPr>
          <w:sz w:val="22"/>
          <w:szCs w:val="22"/>
        </w:rPr>
        <w:t xml:space="preserve">State of California–funded research</w:t>
      </w:r>
    </w:p>
    <w:p>
      <w:pPr>
        <w:pStyle w:val="ListParagraph"/>
        <w:numPr>
          <w:ilvl w:val="0"/>
          <w:numId w:val="2"/>
        </w:numPr>
        <w:spacing w:after="60"/>
      </w:pPr>
      <w:r>
        <w:rPr>
          <w:sz w:val="22"/>
          <w:szCs w:val="22"/>
        </w:rPr>
        <w:t xml:space="preserve">Finding: pre-existing conditions elevate on-the-job injury risk</w:t>
      </w:r>
    </w:p>
    <w:p>
      <w:pPr>
        <w:pStyle w:val="ListParagraph"/>
        <w:numPr>
          <w:ilvl w:val="0"/>
          <w:numId w:val="2"/>
        </w:numPr>
        <w:spacing w:after="60"/>
      </w:pPr>
      <w:r>
        <w:rPr>
          <w:sz w:val="22"/>
          <w:szCs w:val="22"/>
        </w:rPr>
        <w:t xml:space="preserve">41% of workplace injuries occur in an employee's first year; preventable injuries cost employers thousands per day</w:t>
      </w:r>
    </w:p>
    <w:p>
      <w:pPr>
        <w:pStyle w:val="Heading3"/>
        <w:spacing w:after="100" w:before="220"/>
      </w:pPr>
      <w:r>
        <w:t xml:space="preserve">III. The Problem with Traditional Medical Exams</w:t>
      </w:r>
    </w:p>
    <w:p>
      <w:pPr>
        <w:pStyle w:val="ListParagraph"/>
        <w:numPr>
          <w:ilvl w:val="0"/>
          <w:numId w:val="2"/>
        </w:numPr>
        <w:spacing w:after="60"/>
      </w:pPr>
      <w:r>
        <w:rPr>
          <w:sz w:val="22"/>
          <w:szCs w:val="22"/>
        </w:rPr>
        <w:t xml:space="preserve">Limited context: general practitioners lacked job-specific and legal knowledge</w:t>
      </w:r>
    </w:p>
    <w:p>
      <w:pPr>
        <w:pStyle w:val="ListParagraph"/>
        <w:numPr>
          <w:ilvl w:val="0"/>
          <w:numId w:val="2"/>
        </w:numPr>
        <w:spacing w:after="60"/>
      </w:pPr>
      <w:r>
        <w:rPr>
          <w:sz w:val="22"/>
          <w:szCs w:val="22"/>
        </w:rPr>
        <w:t xml:space="preserve">Insufficient information: physicians lacked job-demand detail</w:t>
      </w:r>
    </w:p>
    <w:p>
      <w:pPr>
        <w:pStyle w:val="ListParagraph"/>
        <w:numPr>
          <w:ilvl w:val="0"/>
          <w:numId w:val="2"/>
        </w:numPr>
        <w:spacing w:after="60"/>
      </w:pPr>
      <w:r>
        <w:rPr>
          <w:sz w:val="22"/>
          <w:szCs w:val="22"/>
        </w:rPr>
        <w:t xml:space="preserve">Ineffective system: traditional local-clinic pre-placement exams weren't preventing injuries</w:t>
      </w:r>
    </w:p>
    <w:p>
      <w:pPr>
        <w:pStyle w:val="Heading3"/>
        <w:spacing w:after="100" w:before="220"/>
      </w:pPr>
      <w:r>
        <w:t xml:space="preserve">IV. Occu-Med's Solution</w:t>
      </w:r>
    </w:p>
    <w:p>
      <w:pPr>
        <w:pStyle w:val="ListParagraph"/>
        <w:numPr>
          <w:ilvl w:val="0"/>
          <w:numId w:val="2"/>
        </w:numPr>
        <w:spacing w:after="60"/>
      </w:pPr>
      <w:r>
        <w:rPr>
          <w:sz w:val="22"/>
          <w:szCs w:val="22"/>
        </w:rPr>
        <w:t xml:space="preserve">Specialists and subspecialists over general practitioners</w:t>
      </w:r>
    </w:p>
    <w:p>
      <w:pPr>
        <w:pStyle w:val="ListParagraph"/>
        <w:numPr>
          <w:ilvl w:val="0"/>
          <w:numId w:val="2"/>
        </w:numPr>
        <w:spacing w:after="60"/>
      </w:pPr>
      <w:r>
        <w:rPr>
          <w:sz w:val="22"/>
          <w:szCs w:val="22"/>
        </w:rPr>
        <w:t xml:space="preserve">Evidence-based framework combining legal and medical placement decisions</w:t>
      </w:r>
    </w:p>
    <w:p>
      <w:pPr>
        <w:pStyle w:val="ListParagraph"/>
        <w:numPr>
          <w:ilvl w:val="0"/>
          <w:numId w:val="2"/>
        </w:numPr>
        <w:spacing w:after="60"/>
      </w:pPr>
      <w:r>
        <w:rPr>
          <w:sz w:val="22"/>
          <w:szCs w:val="22"/>
        </w:rPr>
        <w:t xml:space="preserve">Detailed job requirements and legal compliance built into every evaluation</w:t>
      </w:r>
    </w:p>
    <w:p>
      <w:pPr>
        <w:pStyle w:val="ListParagraph"/>
        <w:numPr>
          <w:ilvl w:val="0"/>
          <w:numId w:val="2"/>
        </w:numPr>
        <w:spacing w:after="60"/>
      </w:pPr>
      <w:r>
        <w:rPr>
          <w:sz w:val="22"/>
          <w:szCs w:val="22"/>
        </w:rPr>
        <w:t xml:space="preserve">Real-time reporting cuts wait times for placement decisions</w:t>
      </w:r>
    </w:p>
    <w:p>
      <w:pPr>
        <w:pStyle w:val="Heading3"/>
        <w:spacing w:after="100" w:before="220"/>
      </w:pPr>
      <w:r>
        <w:t xml:space="preserve">V. The Proprietary System — “EXAMQA”</w:t>
      </w:r>
    </w:p>
    <w:p>
      <w:pPr>
        <w:pStyle w:val="ListParagraph"/>
        <w:numPr>
          <w:ilvl w:val="0"/>
          <w:numId w:val="2"/>
        </w:numPr>
        <w:spacing w:after="60"/>
      </w:pPr>
      <w:r>
        <w:rPr>
          <w:sz w:val="22"/>
          <w:szCs w:val="22"/>
        </w:rPr>
        <w:t xml:space="preserve">Occu-Med's branded pre-placement evaluation methodology</w:t>
      </w:r>
    </w:p>
    <w:p>
      <w:pPr>
        <w:pStyle w:val="ListParagraph"/>
        <w:numPr>
          <w:ilvl w:val="0"/>
          <w:numId w:val="2"/>
        </w:numPr>
        <w:spacing w:after="60"/>
      </w:pPr>
      <w:r>
        <w:rPr>
          <w:sz w:val="22"/>
          <w:szCs w:val="22"/>
        </w:rPr>
        <w:t xml:space="preserve">Three-dimensional approach: valid job information + job-related medical exam + job-compatibility assessment</w:t>
      </w:r>
    </w:p>
    <w:p>
      <w:pPr>
        <w:pStyle w:val="ListParagraph"/>
        <w:numPr>
          <w:ilvl w:val="0"/>
          <w:numId w:val="2"/>
        </w:numPr>
        <w:spacing w:after="60"/>
      </w:pPr>
      <w:r>
        <w:rPr>
          <w:sz w:val="22"/>
          <w:szCs w:val="22"/>
        </w:rPr>
        <w:t xml:space="preserve">Applied across 500+ distinct healthcare job classes (clinical, occupational, emergency, correctional, deployment; domestic and international)</w:t>
      </w:r>
    </w:p>
    <w:p>
      <w:pPr>
        <w:pStyle w:val="ListParagraph"/>
        <w:numPr>
          <w:ilvl w:val="0"/>
          <w:numId w:val="2"/>
        </w:numPr>
        <w:spacing w:after="60"/>
      </w:pPr>
      <w:r>
        <w:rPr>
          <w:sz w:val="22"/>
          <w:szCs w:val="22"/>
        </w:rPr>
        <w:t xml:space="preserve">Legally defensible, meets state and federal regulations, typically delivered within 24–48 hours</w:t>
      </w:r>
    </w:p>
    <w:p>
      <w:pPr>
        <w:pStyle w:val="Heading3"/>
        <w:spacing w:after="100" w:before="220"/>
      </w:pPr>
      <w:r>
        <w:t xml:space="preserve">VI. Occu-Med's Process (Referral to Outcome)</w:t>
      </w:r>
    </w:p>
    <w:p>
      <w:pPr>
        <w:pStyle w:val="ListParagraph"/>
        <w:numPr>
          <w:ilvl w:val="0"/>
          <w:numId w:val="2"/>
        </w:numPr>
        <w:spacing w:after="60"/>
      </w:pPr>
      <w:r>
        <w:rPr>
          <w:sz w:val="22"/>
          <w:szCs w:val="22"/>
        </w:rPr>
        <w:t xml:space="preserve">1. Referral &amp; Scheduling — employer/client referral received; scheduling team contacts examinee, then clinic; confirms appointment; sends exam packet</w:t>
      </w:r>
    </w:p>
    <w:p>
      <w:pPr>
        <w:pStyle w:val="ListParagraph"/>
        <w:numPr>
          <w:ilvl w:val="0"/>
          <w:numId w:val="2"/>
        </w:numPr>
        <w:spacing w:after="60"/>
      </w:pPr>
      <w:r>
        <w:rPr>
          <w:sz w:val="22"/>
          <w:szCs w:val="22"/>
        </w:rPr>
        <w:t xml:space="preserve">2. Appointment Rescheduling — no-shows followed up by the Scheduling team; new appointment arranged</w:t>
      </w:r>
    </w:p>
    <w:p>
      <w:pPr>
        <w:pStyle w:val="ListParagraph"/>
        <w:numPr>
          <w:ilvl w:val="0"/>
          <w:numId w:val="2"/>
        </w:numPr>
        <w:spacing w:after="60"/>
      </w:pPr>
      <w:r>
        <w:rPr>
          <w:sz w:val="22"/>
          <w:szCs w:val="22"/>
        </w:rPr>
        <w:t xml:space="preserve">3. Exam Administered — physical exam, lab testing, and/or dental screening as case-appropriate; findings documented by providers</w:t>
      </w:r>
    </w:p>
    <w:p>
      <w:pPr>
        <w:pStyle w:val="ListParagraph"/>
        <w:numPr>
          <w:ilvl w:val="0"/>
          <w:numId w:val="2"/>
        </w:numPr>
        <w:spacing w:after="60"/>
      </w:pPr>
      <w:r>
        <w:rPr>
          <w:sz w:val="22"/>
          <w:szCs w:val="22"/>
        </w:rPr>
        <w:t xml:space="preserve">4. Provider Relations Analysts Request Records — confirm examinee attendance; follow up until results are received</w:t>
      </w:r>
    </w:p>
    <w:p>
      <w:pPr>
        <w:pStyle w:val="ListParagraph"/>
        <w:numPr>
          <w:ilvl w:val="0"/>
          <w:numId w:val="2"/>
        </w:numPr>
        <w:spacing w:after="60"/>
      </w:pPr>
      <w:r>
        <w:rPr>
          <w:sz w:val="22"/>
          <w:szCs w:val="22"/>
        </w:rPr>
        <w:t xml:space="preserve">5. Quality Assurance Review — ExamQA Department checks completeness and accuracy; flags issues to Provider Relations for clinic follow-up</w:t>
      </w:r>
    </w:p>
    <w:p>
      <w:pPr>
        <w:pStyle w:val="ListParagraph"/>
        <w:numPr>
          <w:ilvl w:val="0"/>
          <w:numId w:val="2"/>
        </w:numPr>
        <w:spacing w:after="60"/>
      </w:pPr>
      <w:r>
        <w:rPr>
          <w:sz w:val="22"/>
          <w:szCs w:val="22"/>
        </w:rPr>
        <w:t xml:space="preserve">6. Missing/Incorrect Records Resolved — amended results undergo a final QA check, then pass to the Exam Review Department</w:t>
      </w:r>
    </w:p>
    <w:p>
      <w:pPr>
        <w:pStyle w:val="ListParagraph"/>
        <w:numPr>
          <w:ilvl w:val="0"/>
          <w:numId w:val="2"/>
        </w:numPr>
        <w:spacing w:after="60"/>
      </w:pPr>
      <w:r>
        <w:rPr>
          <w:sz w:val="22"/>
          <w:szCs w:val="22"/>
        </w:rPr>
        <w:t xml:space="preserve">7. Medical Review Team Evaluation — subject matter experts and medical providers assess results against job-classification and deployment-area guidelines</w:t>
      </w:r>
    </w:p>
    <w:p>
      <w:pPr>
        <w:pStyle w:val="ListParagraph"/>
        <w:numPr>
          <w:ilvl w:val="0"/>
          <w:numId w:val="2"/>
        </w:numPr>
        <w:spacing w:after="60"/>
      </w:pPr>
      <w:r>
        <w:rPr>
          <w:sz w:val="22"/>
          <w:szCs w:val="22"/>
        </w:rPr>
        <w:t xml:space="preserve">8. Exam Findings &amp; Follow-Up — case manager contacts the examinee on any abnormal findings; formal letter with reconsideration instructions; examinee typically returns to the same clinic for continuity of care</w:t>
      </w:r>
    </w:p>
    <w:p>
      <w:pPr>
        <w:pStyle w:val="ListParagraph"/>
        <w:numPr>
          <w:ilvl w:val="0"/>
          <w:numId w:val="2"/>
        </w:numPr>
        <w:spacing w:after="60"/>
      </w:pPr>
      <w:r>
        <w:rPr>
          <w:sz w:val="22"/>
          <w:szCs w:val="22"/>
        </w:rPr>
        <w:t xml:space="preserve">9. Final Outcome — Medical Review Team makes the safe-placement/deployment determination; only the outcome, never the medical detail, goes to the employer, preserving confidentiality</w:t>
      </w:r>
    </w:p>
    <w:p>
      <w:pPr>
        <w:pStyle w:val="Heading3"/>
        <w:spacing w:after="100" w:before="220"/>
      </w:pPr>
      <w:r>
        <w:t xml:space="preserve">VII. Global Network</w:t>
      </w:r>
    </w:p>
    <w:p>
      <w:pPr>
        <w:pStyle w:val="ListParagraph"/>
        <w:numPr>
          <w:ilvl w:val="0"/>
          <w:numId w:val="2"/>
        </w:numPr>
        <w:spacing w:after="60"/>
      </w:pPr>
      <w:r>
        <w:rPr>
          <w:sz w:val="22"/>
          <w:szCs w:val="22"/>
        </w:rPr>
        <w:t xml:space="preserve">~15,000 affiliated medical and dental facilities (recent company materials cite nearly 16,000)</w:t>
      </w:r>
    </w:p>
    <w:p>
      <w:pPr>
        <w:pStyle w:val="ListParagraph"/>
        <w:numPr>
          <w:ilvl w:val="0"/>
          <w:numId w:val="2"/>
        </w:numPr>
        <w:spacing w:after="60"/>
      </w:pPr>
      <w:r>
        <w:rPr>
          <w:sz w:val="22"/>
          <w:szCs w:val="22"/>
        </w:rPr>
        <w:t xml:space="preserve">Coverage across North America, Europe, Asia, South America, Africa, and Australia — 50+ countries in current materials, up from 36+ reported in 2017</w:t>
      </w:r>
    </w:p>
    <w:p>
      <w:pPr>
        <w:pStyle w:val="ListParagraph"/>
        <w:numPr>
          <w:ilvl w:val="0"/>
          <w:numId w:val="2"/>
        </w:numPr>
        <w:spacing w:after="60"/>
      </w:pPr>
      <w:r>
        <w:rPr>
          <w:sz w:val="22"/>
          <w:szCs w:val="22"/>
        </w:rPr>
        <w:t xml:space="preserve">Includes primary care and occupational health practitioners plus subspecialists in cardiology, neurology, and orthopedics</w:t>
      </w:r>
    </w:p>
    <w:p>
      <w:pPr>
        <w:pStyle w:val="ListParagraph"/>
        <w:numPr>
          <w:ilvl w:val="0"/>
          <w:numId w:val="2"/>
        </w:numPr>
        <w:spacing w:after="60"/>
      </w:pPr>
      <w:r>
        <w:rPr>
          <w:sz w:val="22"/>
          <w:szCs w:val="22"/>
        </w:rPr>
        <w:t xml:space="preserve">Supported internally by dedicated Network Management, Scheduling, and Provider Relations departments</w:t>
      </w:r>
    </w:p>
    <w:p>
      <w:pPr>
        <w:pStyle w:val="ListParagraph"/>
        <w:numPr>
          <w:ilvl w:val="0"/>
          <w:numId w:val="2"/>
        </w:numPr>
        <w:spacing w:after="60"/>
      </w:pPr>
      <w:r>
        <w:rPr>
          <w:sz w:val="22"/>
          <w:szCs w:val="22"/>
        </w:rPr>
        <w:t xml:space="preserve">International expansion dates to 2006</w:t>
      </w:r>
    </w:p>
    <w:p>
      <w:pPr>
        <w:pStyle w:val="Heading3"/>
        <w:spacing w:after="100" w:before="220"/>
      </w:pPr>
      <w:r>
        <w:t xml:space="preserve">VIII. Industries &amp; Sectors Served</w:t>
      </w:r>
    </w:p>
    <w:p>
      <w:pPr>
        <w:pStyle w:val="ListParagraph"/>
        <w:numPr>
          <w:ilvl w:val="0"/>
          <w:numId w:val="2"/>
        </w:numPr>
        <w:spacing w:after="60"/>
      </w:pPr>
      <w:r>
        <w:rPr>
          <w:sz w:val="22"/>
          <w:szCs w:val="22"/>
        </w:rPr>
        <w:t xml:space="preserve">Defense &amp; Government — core client base; direct DoD/DoS contracting since federal registration in 2007; deployment support has included Kuwait, Qatar, the U.A.E., Iraq, Afghanistan, Bosnia, Kosovo, Turkey, Saudi Arabia, Japan, and other locations</w:t>
      </w:r>
    </w:p>
    <w:p>
      <w:pPr>
        <w:pStyle w:val="ListParagraph"/>
        <w:numPr>
          <w:ilvl w:val="0"/>
          <w:numId w:val="2"/>
        </w:numPr>
        <w:spacing w:after="60"/>
      </w:pPr>
      <w:r>
        <w:rPr>
          <w:sz w:val="22"/>
          <w:szCs w:val="22"/>
        </w:rPr>
        <w:t xml:space="preserve">Energy Companies</w:t>
      </w:r>
    </w:p>
    <w:p>
      <w:pPr>
        <w:pStyle w:val="ListParagraph"/>
        <w:numPr>
          <w:ilvl w:val="0"/>
          <w:numId w:val="2"/>
        </w:numPr>
        <w:spacing w:after="60"/>
      </w:pPr>
      <w:r>
        <w:rPr>
          <w:sz w:val="22"/>
          <w:szCs w:val="22"/>
        </w:rPr>
        <w:t xml:space="preserve">Construction Firms</w:t>
      </w:r>
    </w:p>
    <w:p>
      <w:pPr>
        <w:pStyle w:val="ListParagraph"/>
        <w:numPr>
          <w:ilvl w:val="0"/>
          <w:numId w:val="2"/>
        </w:numPr>
        <w:spacing w:after="60"/>
      </w:pPr>
      <w:r>
        <w:rPr>
          <w:sz w:val="22"/>
          <w:szCs w:val="22"/>
        </w:rPr>
        <w:t xml:space="preserve">Private Education</w:t>
      </w:r>
    </w:p>
    <w:p>
      <w:pPr>
        <w:pStyle w:val="ListParagraph"/>
        <w:numPr>
          <w:ilvl w:val="0"/>
          <w:numId w:val="2"/>
        </w:numPr>
        <w:spacing w:after="60"/>
      </w:pPr>
      <w:r>
        <w:rPr>
          <w:sz w:val="22"/>
          <w:szCs w:val="22"/>
        </w:rPr>
        <w:t xml:space="preserve">Local Governments</w:t>
      </w:r>
    </w:p>
    <w:p>
      <w:pPr>
        <w:pStyle w:val="ListParagraph"/>
        <w:numPr>
          <w:ilvl w:val="0"/>
          <w:numId w:val="2"/>
        </w:numPr>
        <w:spacing w:after="60"/>
      </w:pPr>
      <w:r>
        <w:rPr>
          <w:sz w:val="22"/>
          <w:szCs w:val="22"/>
        </w:rPr>
        <w:t xml:space="preserve">Public Safety — 500+ public safety clients across law enforcement, fire, and EMS</w:t>
      </w:r>
    </w:p>
    <w:p>
      <w:pPr>
        <w:pStyle w:val="ListParagraph"/>
        <w:numPr>
          <w:ilvl w:val="0"/>
          <w:numId w:val="2"/>
        </w:numPr>
        <w:spacing w:after="60"/>
      </w:pPr>
      <w:r>
        <w:rPr>
          <w:sz w:val="22"/>
          <w:szCs w:val="22"/>
        </w:rPr>
        <w:t xml:space="preserve">Note: only the 2006 international-expansion date and 2007 federal-registration date are documented publicly — the specific year each civilian sector (energy, construction, education, local government) was first added isn't recorded anywhere I could find.</w:t>
      </w:r>
    </w:p>
    <w:p>
      <w:pPr>
        <w:pStyle w:val="Heading3"/>
        <w:spacing w:after="100" w:before="220"/>
      </w:pPr>
      <w:r>
        <w:t xml:space="preserve">IX. Medical &amp; Occupational Health Standards</w:t>
      </w:r>
    </w:p>
    <w:p>
      <w:pPr>
        <w:pStyle w:val="ListParagraph"/>
        <w:numPr>
          <w:ilvl w:val="0"/>
          <w:numId w:val="2"/>
        </w:numPr>
        <w:spacing w:after="60"/>
      </w:pPr>
      <w:r>
        <w:rPr>
          <w:sz w:val="22"/>
          <w:szCs w:val="22"/>
        </w:rPr>
        <w:t xml:space="preserve">Deployment &amp; Government Contract: MOD 18 Deployment Guideline, AOR-Specific Deployment Medical Standards, DoS Medical Clearance Guidelines</w:t>
      </w:r>
    </w:p>
    <w:p>
      <w:pPr>
        <w:pStyle w:val="ListParagraph"/>
        <w:numPr>
          <w:ilvl w:val="0"/>
          <w:numId w:val="2"/>
        </w:numPr>
        <w:spacing w:after="60"/>
      </w:pPr>
      <w:r>
        <w:rPr>
          <w:sz w:val="22"/>
          <w:szCs w:val="22"/>
        </w:rPr>
        <w:t xml:space="preserve">Operational &amp; Public Safety: FMCSA/DOT, POST (law enforcement), NFPA (fire), FAA (aviation), USCG (maritime), OSHA medical surveillance, OEUK (Offshore Energies UK)</w:t>
      </w:r>
    </w:p>
    <w:p>
      <w:pPr>
        <w:pStyle w:val="Heading3"/>
        <w:spacing w:after="100" w:before="220"/>
      </w:pPr>
      <w:r>
        <w:t xml:space="preserve">X. Core Services</w:t>
      </w:r>
    </w:p>
    <w:p>
      <w:pPr>
        <w:pStyle w:val="ListParagraph"/>
        <w:numPr>
          <w:ilvl w:val="0"/>
          <w:numId w:val="2"/>
        </w:numPr>
        <w:spacing w:after="60"/>
      </w:pPr>
      <w:r>
        <w:rPr>
          <w:sz w:val="22"/>
          <w:szCs w:val="22"/>
        </w:rPr>
        <w:t xml:space="preserve">Pre-Placement Medical Evaluations (EXAMQA) — three-dimensional assessment; thorough, legally defensible, meets state/federal regulations, often delivered in 24–48 hours</w:t>
      </w:r>
    </w:p>
    <w:p>
      <w:pPr>
        <w:pStyle w:val="ListParagraph"/>
        <w:numPr>
          <w:ilvl w:val="0"/>
          <w:numId w:val="2"/>
        </w:numPr>
        <w:spacing w:after="60"/>
      </w:pPr>
      <w:r>
        <w:rPr>
          <w:sz w:val="22"/>
          <w:szCs w:val="22"/>
        </w:rPr>
        <w:t xml:space="preserve">Deployment Medical Readiness / Pre- &amp; Post-Deployment Health Assessments — confirms DoD/DoS medical and immunization requirements via the network; pre-deployment assessments establish fitness, post-deployment assessments catch health changes or injuries from deployment (audiograms, physical exams, hazardous-exposure testing); supports Defense Base Act (DBA) benefits documentation</w:t>
      </w:r>
    </w:p>
    <w:p>
      <w:pPr>
        <w:pStyle w:val="ListParagraph"/>
        <w:numPr>
          <w:ilvl w:val="0"/>
          <w:numId w:val="2"/>
        </w:numPr>
        <w:spacing w:after="60"/>
      </w:pPr>
      <w:r>
        <w:rPr>
          <w:sz w:val="22"/>
          <w:szCs w:val="22"/>
        </w:rPr>
        <w:t xml:space="preserve">Fitness-for-Duty &amp; Return-to-Work Evaluations — for diminished performance or return from medical leave; research-based, objective assessment; identifies reasonable accommodations</w:t>
      </w:r>
    </w:p>
    <w:p>
      <w:pPr>
        <w:pStyle w:val="Heading3"/>
        <w:spacing w:after="100" w:before="220"/>
      </w:pPr>
      <w:r>
        <w:t xml:space="preserve">XI. Additional Services</w:t>
      </w:r>
    </w:p>
    <w:p>
      <w:pPr>
        <w:pStyle w:val="ListParagraph"/>
        <w:numPr>
          <w:ilvl w:val="0"/>
          <w:numId w:val="2"/>
        </w:numPr>
        <w:spacing w:after="60"/>
      </w:pPr>
      <w:r>
        <w:rPr>
          <w:sz w:val="22"/>
          <w:szCs w:val="22"/>
        </w:rPr>
        <w:t xml:space="preserve">Periodic Medical Evaluations &amp; Surveillance — exposure monitoring, regulatory-compliance confirmation, turnkey scheduling</w:t>
      </w:r>
    </w:p>
    <w:p>
      <w:pPr>
        <w:pStyle w:val="ListParagraph"/>
        <w:numPr>
          <w:ilvl w:val="0"/>
          <w:numId w:val="2"/>
        </w:numPr>
        <w:spacing w:after="60"/>
      </w:pPr>
      <w:r>
        <w:rPr>
          <w:sz w:val="22"/>
          <w:szCs w:val="22"/>
        </w:rPr>
        <w:t xml:space="preserve">Immunizations — location-based vaccines for deployment and international travel per regulatory requirements</w:t>
      </w:r>
    </w:p>
    <w:p>
      <w:pPr>
        <w:pStyle w:val="ListParagraph"/>
        <w:numPr>
          <w:ilvl w:val="0"/>
          <w:numId w:val="2"/>
        </w:numPr>
        <w:spacing w:after="60"/>
      </w:pPr>
      <w:r>
        <w:rPr>
          <w:sz w:val="22"/>
          <w:szCs w:val="22"/>
        </w:rPr>
        <w:t xml:space="preserve">Embassy-Linked Medical Clearance — end-to-end evaluation for overseas employment, including embassy health-protocol and visa medical-requirement compliance</w:t>
      </w:r>
    </w:p>
    <w:p>
      <w:pPr>
        <w:pStyle w:val="ListParagraph"/>
        <w:numPr>
          <w:ilvl w:val="0"/>
          <w:numId w:val="2"/>
        </w:numPr>
        <w:spacing w:after="60"/>
      </w:pPr>
      <w:r>
        <w:rPr>
          <w:sz w:val="22"/>
          <w:szCs w:val="22"/>
        </w:rPr>
        <w:t xml:space="preserve">Post-Deployment Health Assessment (PDHA) — identifies deployment-related health changes, injuries, and exposures; treated as a strategic tool rather than a compliance checkbox, feeding DBA claims documentation</w:t>
      </w:r>
    </w:p>
    <w:p>
      <w:pPr>
        <w:pStyle w:val="Heading3"/>
        <w:spacing w:after="100" w:before="220"/>
      </w:pPr>
      <w:r>
        <w:t xml:space="preserve">XII. Core Values</w:t>
      </w:r>
    </w:p>
    <w:p>
      <w:pPr>
        <w:pStyle w:val="ListParagraph"/>
        <w:numPr>
          <w:ilvl w:val="0"/>
          <w:numId w:val="2"/>
        </w:numPr>
        <w:spacing w:after="60"/>
      </w:pPr>
      <w:r>
        <w:rPr>
          <w:sz w:val="22"/>
          <w:szCs w:val="22"/>
        </w:rPr>
        <w:t xml:space="preserve">Humility, Positivity, Customer Service, Quality, Integrity, Diligence</w:t>
      </w:r>
    </w:p>
    <w:p>
      <w:pPr>
        <w:pStyle w:val="Heading3"/>
        <w:spacing w:after="100" w:before="220"/>
      </w:pPr>
      <w:r>
        <w:t xml:space="preserve">XIII. Federal Registration Snapshot (procurement reference)</w:t>
      </w:r>
    </w:p>
    <w:p>
      <w:pPr>
        <w:pStyle w:val="ListParagraph"/>
        <w:numPr>
          <w:ilvl w:val="0"/>
          <w:numId w:val="2"/>
        </w:numPr>
        <w:spacing w:after="60"/>
      </w:pPr>
      <w:r>
        <w:rPr>
          <w:sz w:val="22"/>
          <w:szCs w:val="22"/>
        </w:rPr>
        <w:t xml:space="preserve">Legal name: Occu-Med, Ltd., dba Occu-Med</w:t>
      </w:r>
    </w:p>
    <w:p>
      <w:pPr>
        <w:pStyle w:val="ListParagraph"/>
        <w:numPr>
          <w:ilvl w:val="0"/>
          <w:numId w:val="2"/>
        </w:numPr>
        <w:spacing w:after="60"/>
      </w:pPr>
      <w:r>
        <w:rPr>
          <w:sz w:val="22"/>
          <w:szCs w:val="22"/>
        </w:rPr>
        <w:t xml:space="preserve">UEI: MF2FNN9FF7B3  ·  CAGE: 4W7A0</w:t>
      </w:r>
    </w:p>
    <w:p>
      <w:pPr>
        <w:pStyle w:val="ListParagraph"/>
        <w:numPr>
          <w:ilvl w:val="0"/>
          <w:numId w:val="2"/>
        </w:numPr>
        <w:spacing w:after="60"/>
      </w:pPr>
      <w:r>
        <w:rPr>
          <w:sz w:val="22"/>
          <w:szCs w:val="22"/>
        </w:rPr>
        <w:t xml:space="preserve">Primary NAICS: 541612 (Human Resources Consulting Services); also registered under 541611, 541614, 621111, 621498, 621999, and 923120</w:t>
      </w:r>
    </w:p>
    <w:p>
      <w:pPr>
        <w:pStyle w:val="ListParagraph"/>
        <w:numPr>
          <w:ilvl w:val="0"/>
          <w:numId w:val="2"/>
        </w:numPr>
        <w:spacing w:after="60"/>
      </w:pPr>
      <w:r>
        <w:rPr>
          <w:sz w:val="22"/>
          <w:szCs w:val="22"/>
        </w:rPr>
        <w:t xml:space="preserve">Entity type: Subchapter S Corporation, incorporated in Delaware</w:t>
      </w:r>
    </w:p>
    <w:p>
      <w:pPr>
        <w:pStyle w:val="ListParagraph"/>
        <w:numPr>
          <w:ilvl w:val="0"/>
          <w:numId w:val="2"/>
        </w:numPr>
        <w:spacing w:after="60"/>
      </w:pPr>
      <w:r>
        <w:rPr>
          <w:sz w:val="22"/>
          <w:szCs w:val="22"/>
        </w:rPr>
        <w:t xml:space="preserve">SAM.gov initial registration: October 3, 2007</w:t>
      </w:r>
    </w:p>
    <w:p>
      <w:pPr>
        <w:pStyle w:val="Heading3"/>
        <w:spacing w:after="100" w:before="220"/>
      </w:pPr>
      <w:r>
        <w:t xml:space="preserve">XIV. Department Leadership (current)</w:t>
      </w:r>
    </w:p>
    <w:p>
      <w:pPr>
        <w:pStyle w:val="ListParagraph"/>
        <w:numPr>
          <w:ilvl w:val="0"/>
          <w:numId w:val="2"/>
        </w:numPr>
        <w:spacing w:after="60"/>
      </w:pPr>
      <w:r>
        <w:rPr>
          <w:sz w:val="22"/>
          <w:szCs w:val="22"/>
        </w:rPr>
        <w:t xml:space="preserve">Network Management — Matt Caskey</w:t>
      </w:r>
    </w:p>
    <w:p>
      <w:pPr>
        <w:pStyle w:val="ListParagraph"/>
        <w:numPr>
          <w:ilvl w:val="0"/>
          <w:numId w:val="2"/>
        </w:numPr>
        <w:spacing w:after="60"/>
      </w:pPr>
      <w:r>
        <w:rPr>
          <w:sz w:val="22"/>
          <w:szCs w:val="22"/>
        </w:rPr>
        <w:t xml:space="preserve">Operations — Chase Coyle</w:t>
      </w:r>
    </w:p>
    <w:p>
      <w:pPr>
        <w:pStyle w:val="ListParagraph"/>
        <w:numPr>
          <w:ilvl w:val="0"/>
          <w:numId w:val="2"/>
        </w:numPr>
        <w:spacing w:after="60"/>
      </w:pPr>
      <w:r>
        <w:rPr>
          <w:sz w:val="22"/>
          <w:szCs w:val="22"/>
        </w:rPr>
        <w:t xml:space="preserve">Scheduling — Elizabeth Matthies</w:t>
      </w:r>
    </w:p>
    <w:p>
      <w:pPr>
        <w:pStyle w:val="ListParagraph"/>
        <w:numPr>
          <w:ilvl w:val="0"/>
          <w:numId w:val="2"/>
        </w:numPr>
        <w:spacing w:after="60"/>
      </w:pPr>
      <w:r>
        <w:rPr>
          <w:sz w:val="22"/>
          <w:szCs w:val="22"/>
        </w:rPr>
        <w:t xml:space="preserve">ExamQA — Dana Tamayo</w:t>
      </w:r>
    </w:p>
    <w:p>
      <w:pPr>
        <w:pStyle w:val="ListParagraph"/>
        <w:numPr>
          <w:ilvl w:val="0"/>
          <w:numId w:val="2"/>
        </w:numPr>
        <w:spacing w:after="60"/>
      </w:pPr>
      <w:r>
        <w:rPr>
          <w:sz w:val="22"/>
          <w:szCs w:val="22"/>
        </w:rPr>
        <w:t xml:space="preserve">Finance — Alyson Tillery</w:t>
      </w:r>
    </w:p>
    <w:p>
      <w:pPr>
        <w:pStyle w:val="Heading2"/>
        <w:spacing w:after="150" w:before="320"/>
      </w:pPr>
      <w:r>
        <w:t xml:space="preserve">Notes on Research</w:t>
      </w:r>
    </w:p>
    <w:p>
      <w:pPr>
        <w:pStyle w:val="ListParagraph"/>
        <w:numPr>
          <w:ilvl w:val="0"/>
          <w:numId w:val="2"/>
        </w:numPr>
        <w:spacing w:after="60"/>
      </w:pPr>
      <w:r>
        <w:rPr>
          <w:sz w:val="22"/>
          <w:szCs w:val="22"/>
        </w:rPr>
        <w:t xml:space="preserve">No public source gives an exact date for the Honolulu → Fresno headquarters move, or the specific year each civilian sector (energy, construction, private education, local government) was first added — only the 2006 international-expansion and 2007 federal-registration dates are documented.</w:t>
      </w:r>
    </w:p>
    <w:p>
      <w:pPr>
        <w:pStyle w:val="ListParagraph"/>
        <w:numPr>
          <w:ilvl w:val="0"/>
          <w:numId w:val="2"/>
        </w:numPr>
        <w:spacing w:after="60"/>
      </w:pPr>
      <w:r>
        <w:rPr>
          <w:sz w:val="22"/>
          <w:szCs w:val="22"/>
        </w:rPr>
        <w:t xml:space="preserve">The Rising Star award and the Camp Arifjan mission are both drawn from a single 2017 trade-press profile, which didn't give an exact award date beyond publishing in May 2017.</w:t>
      </w:r>
    </w:p>
    <w:p>
      <w:pPr>
        <w:pStyle w:val="ListParagraph"/>
        <w:numPr>
          <w:ilvl w:val="0"/>
          <w:numId w:val="2"/>
        </w:numPr>
        <w:spacing w:after="60"/>
      </w:pPr>
      <w:r>
        <w:rPr>
          <w:sz w:val="22"/>
          <w:szCs w:val="22"/>
        </w:rPr>
        <w:t xml:space="preserve">Facility-network counts vary slightly across current company materials (15,000 vs. “nearly 16,000”) depending on the page and date pulled — both are presented here as directional, not exact.</w:t>
      </w:r>
    </w:p>
    <w:p>
      <w:pPr>
        <w:pStyle w:val="ListParagraph"/>
        <w:numPr>
          <w:ilvl w:val="0"/>
          <w:numId w:val="2"/>
        </w:numPr>
        <w:spacing w:after="60"/>
      </w:pPr>
      <w:r>
        <w:rPr>
          <w:sz w:val="22"/>
          <w:szCs w:val="22"/>
        </w:rPr>
        <w:t xml:space="preserve">Individual names are limited to founder Jim A. Johnson, co-founder Dr. Devonna M. Kaji, and the Department Leadership roster already in your deck. Other current and former staff turned up in research (e.g., past Director of Business Development, Director of Global Business Services, Controller roles) are described by role and date only, not by name — say the word if you want any of them added back.</w:t>
      </w:r>
    </w:p>
    <w:p>
      <w:pPr>
        <w:pStyle w:val="Heading2"/>
        <w:spacing w:after="150" w:before="320"/>
      </w:pPr>
      <w:r>
        <w:t xml:space="preserve">Sources</w:t>
      </w:r>
    </w:p>
    <w:p>
      <w:pPr>
        <w:pStyle w:val="ListParagraph"/>
        <w:numPr>
          <w:ilvl w:val="0"/>
          <w:numId w:val="2"/>
        </w:numPr>
        <w:spacing w:after="60"/>
      </w:pPr>
      <w:r>
        <w:rPr>
          <w:sz w:val="22"/>
          <w:szCs w:val="22"/>
        </w:rPr>
        <w:t xml:space="preserve">The Business Journal, “Occu-Med: A globe-trotting Rising Star” (May 26, 2017) — thebusinessjournal.com/occu-med-globe-trotting-rising-star</w:t>
      </w:r>
    </w:p>
    <w:p>
      <w:pPr>
        <w:pStyle w:val="ListParagraph"/>
        <w:numPr>
          <w:ilvl w:val="0"/>
          <w:numId w:val="2"/>
        </w:numPr>
        <w:spacing w:after="60"/>
      </w:pPr>
      <w:r>
        <w:rPr>
          <w:sz w:val="22"/>
          <w:szCs w:val="22"/>
        </w:rPr>
        <w:t xml:space="preserve">Occu-Med on LinkedIn — linkedin.com/company/occumedltd</w:t>
      </w:r>
    </w:p>
    <w:p>
      <w:pPr>
        <w:pStyle w:val="ListParagraph"/>
        <w:numPr>
          <w:ilvl w:val="0"/>
          <w:numId w:val="2"/>
        </w:numPr>
        <w:spacing w:after="60"/>
      </w:pPr>
      <w:r>
        <w:rPr>
          <w:sz w:val="22"/>
          <w:szCs w:val="22"/>
        </w:rPr>
        <w:t xml:space="preserve">Occu-Med — Home, Who We Are, What We Do, Our Network, Who We Serve, Pre-Placement Medical Evaluations, Fitness-for-Duty, Pre-Deployment Health Assessment, Post-Deployment Health Assessment pages — occu-med.com</w:t>
      </w:r>
    </w:p>
    <w:p>
      <w:pPr>
        <w:pStyle w:val="ListParagraph"/>
        <w:numPr>
          <w:ilvl w:val="0"/>
          <w:numId w:val="2"/>
        </w:numPr>
        <w:spacing w:after="60"/>
      </w:pPr>
      <w:r>
        <w:rPr>
          <w:sz w:val="22"/>
          <w:szCs w:val="22"/>
        </w:rPr>
        <w:t xml:space="preserve">HigherGov federal awardee profile (UEI, CAGE, NAICS, SAM.gov registration dates) — highergov.com/awardee/occu-med-ltd-10036470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2026-09-08T09:59:43.249Z</dcterms:created>
  <dcterms:modified xsi:type="dcterms:W3CDTF">2026-09-08T09:59:43.263Z</dcterms:modified>
</cp:coreProperties>
</file>

<file path=docProps/custom.xml><?xml version="1.0" encoding="utf-8"?>
<Properties xmlns="http://schemas.openxmlformats.org/officeDocument/2006/custom-properties" xmlns:vt="http://schemas.openxmlformats.org/officeDocument/2006/docPropsVTypes"/>
</file>