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/>
      </w:pPr>
      <w:r>
        <w:rPr>
          <w:b/>
        </w:rPr>
        <w:t>Plano de aula PR-0</w:t>
      </w:r>
      <w:r>
        <w:rPr>
          <w:b/>
        </w:rPr>
        <w:t>4</w:t>
      </w:r>
      <w:r>
        <w:rPr>
          <w:b/>
        </w:rPr>
        <w:t xml:space="preserve"> - Monitoramento de Dados de Saúde em Tempo Real com Python</w:t>
      </w:r>
    </w:p>
    <w:tbl>
      <w:tblPr>
        <w:tblW w:w="10368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2592"/>
        <w:gridCol w:w="2592"/>
        <w:gridCol w:w="2592"/>
        <w:gridCol w:w="2591"/>
      </w:tblGrid>
      <w:tr>
        <w:trPr>
          <w:cantSplit w:val="true"/>
        </w:trPr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Trilha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Programação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Carga horária</w:t>
            </w:r>
          </w:p>
        </w:tc>
        <w:tc>
          <w:tcPr>
            <w:tcW w:w="2591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3 h</w:t>
            </w:r>
          </w:p>
        </w:tc>
      </w:tr>
      <w:tr>
        <w:trPr>
          <w:cantSplit w:val="true"/>
        </w:trPr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Organização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1 encontro de 3 h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Modalidade</w:t>
            </w:r>
          </w:p>
        </w:tc>
        <w:tc>
          <w:tcPr>
            <w:tcW w:w="2591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Presencial, remota ou híbrida</w:t>
            </w:r>
          </w:p>
        </w:tc>
      </w:tr>
      <w:tr>
        <w:trPr>
          <w:cantSplit w:val="true"/>
        </w:trPr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Pré-requisitos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PR-02 - Aprendendo a programar em Python, ou conhecimentos básicos equivalentes.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Produto principal</w:t>
            </w:r>
          </w:p>
        </w:tc>
        <w:tc>
          <w:tcPr>
            <w:tcW w:w="2591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Notebook funcional de monitoramento em Google Colab</w:t>
            </w:r>
          </w:p>
        </w:tc>
      </w:tr>
      <w:tr>
        <w:trPr>
          <w:cantSplit w:val="true"/>
        </w:trPr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Referência de duração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Curso aplicado de 3 h, concebido como continuidade prática do módulo introdutório de Python.</w:t>
            </w:r>
          </w:p>
        </w:tc>
        <w:tc>
          <w:tcPr>
            <w:tcW w:w="2592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EAF4F8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0F4C66"/>
                <w:sz w:val="17"/>
              </w:rPr>
              <w:t>Público</w:t>
            </w:r>
          </w:p>
        </w:tc>
        <w:tc>
          <w:tcPr>
            <w:tcW w:w="2591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FFFFF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Acadêmicos, profissionais de saúde e tecnologia com noções básicas de Python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keepNext w:val="true"/>
        <w:rPr/>
      </w:pPr>
      <w:r>
        <w:rPr/>
        <w:t>Resultados de aprendizagem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Compreender a arquitetura básica de uma aplicação que recebe dados de sensores e os disponibiliza para processamento em Python.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Interpretar pacotes de dados estruturados, utilizando dicionários, listas, índices, timestamps e números de sequência.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Manter uma janela de dados e produzir visualizações temporais atualizadas no Google Colab.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Implementar regras simples para identificar falhas de comunicação e anomalias técnicas nos dados, sem realizar interpretação clínica.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Testar o mesmo código com uma fonte simulada e com uma fonte de dados ao vivo, registrando resultados para análise posterior.</w:t>
      </w:r>
    </w:p>
    <w:p>
      <w:pPr>
        <w:pStyle w:val="Heading1"/>
        <w:keepNext w:val="true"/>
        <w:rPr/>
      </w:pPr>
      <w:r>
        <w:rPr/>
        <w:t>Conteúdo programático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Arquitetura de monitoramento: sensor/microcontrolador, publicador, serviço intermediário e notebook do participante.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Google Colab como ambiente de execução sem instalação local no computador do participante.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Pacotes de dados e JSON: campos, dicionários, listas, timestamp, frequência de amostragem e número de sequência.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Uso de coleções e funções em Python para organizar e validar dados recebidos.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Janela deslizante de dados e atualização de gráficos com Matplotlib.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Indicadores técnicos simples: quantidade de pacotes, intervalo entre atualizações, perda de sequência e presença de dados inválidos.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Injeção didática de ruído, deslocamento de linha de base, artefato de movimento, picos, saturação, valores fora da faixa e perda de pacotes.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Registro em CSV, testes e distinção entre qualidade técnica do dado e diagnóstico clínico.</w:t>
      </w:r>
    </w:p>
    <w:p>
      <w:pPr>
        <w:pStyle w:val="Heading1"/>
        <w:keepNext w:val="true"/>
        <w:rPr/>
      </w:pPr>
      <w:r>
        <w:rPr/>
        <w:t>Sequência didática</w:t>
      </w:r>
    </w:p>
    <w:tbl>
      <w:tblPr>
        <w:tblW w:w="10370" w:type="dxa"/>
        <w:jc w:val="center"/>
        <w:tblInd w:w="0" w:type="dxa"/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a0" w:noHBand="0" w:noVBand="1" w:firstColumn="1" w:lastRow="0" w:lastColumn="0" w:firstRow="1"/>
      </w:tblPr>
      <w:tblGrid>
        <w:gridCol w:w="5185"/>
        <w:gridCol w:w="5184"/>
      </w:tblGrid>
      <w:tr>
        <w:trPr>
          <w:tblHeader w:val="true"/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7"/>
              </w:rPr>
              <w:t>Aula / duração da etapa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0D7895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color w:val="FFFFFF"/>
                <w:sz w:val="17"/>
              </w:rPr>
              <w:t>Atividade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15 min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Abertura, retomada dos pré-requisitos de Python e apresentação do problema de monitoramento em saúde digital.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20 min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Arquitetura ponta a ponta, fluxo dos dados e leitura do formato do pacote recebido.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30 min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Prática guiada com fonte simulada: dicionários, listas, funções e organização das amostras.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30 min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Construção da janela temporal e visualização atualizada dos sinais/variáveis com Matplotlib.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30 min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Regras de qualidade dos dados: sequência, atraso, valores inválidos, picos e ausência de atualizações.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40 min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Desafio hands-on em modo ao vivo ou simulado com injeção de anomalias sem identificação prévia para os participantes.</w:t>
            </w:r>
          </w:p>
        </w:tc>
      </w:tr>
      <w:tr>
        <w:trPr>
          <w:cantSplit w:val="true"/>
        </w:trPr>
        <w:tc>
          <w:tcPr>
            <w:tcW w:w="5185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shd w:fill="F5F9FB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15 min</w:t>
            </w:r>
          </w:p>
        </w:tc>
        <w:tc>
          <w:tcPr>
            <w:tcW w:w="5184" w:type="dxa"/>
            <w:tcBorders>
              <w:top w:val="single" w:sz="6" w:space="0" w:color="8AA8B5"/>
              <w:left w:val="single" w:sz="6" w:space="0" w:color="8AA8B5"/>
              <w:bottom w:val="single" w:sz="6" w:space="0" w:color="8AA8B5"/>
              <w:right w:val="single" w:sz="6" w:space="0" w:color="8AA8B5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sz w:val="17"/>
              </w:rPr>
              <w:t>Testes, comparação das soluções, registro em CSV, síntese e discussão dos limites da aplicação.</w:t>
            </w:r>
          </w:p>
        </w:tc>
      </w:tr>
    </w:tbl>
    <w:p>
      <w:pPr>
        <w:pStyle w:val="Heading1"/>
        <w:keepNext w:val="true"/>
        <w:rPr/>
      </w:pPr>
      <w:r>
        <w:rPr/>
        <w:t>Desafio hands-on</w:t>
      </w:r>
    </w:p>
    <w:p>
      <w:pPr>
        <w:pStyle w:val="Normal"/>
        <w:rPr/>
      </w:pPr>
      <w:r>
        <w:rPr/>
        <w:t xml:space="preserve">Evoluir um notebook-base para que ele receba um fluxo de dados de saúde sintéticos ou de bancada, mantenha uma janela temporal, apresente os dados graficamente e sinalize condições técnicas definidas para o exercício. Durante o desafio, o instrutor introduzirá alterações como ruído, picos, saturação, valores fora da faixa ou perda de pacotes. O participante deverá identificar ao menos duas dessas condições por meio de regras programadas e registrar os resultados. </w:t>
      </w:r>
      <w:r>
        <w:rPr>
          <w:i/>
        </w:rPr>
        <w:t>As regras e limiares utilizados são exclusivamente didáticos e não representam critérios clínicos.</w:t>
      </w:r>
    </w:p>
    <w:p>
      <w:pPr>
        <w:pStyle w:val="Heading1"/>
        <w:keepNext w:val="true"/>
        <w:rPr/>
      </w:pPr>
      <w:r>
        <w:rPr/>
        <w:t>Avaliação e evidências</w:t>
      </w:r>
    </w:p>
    <w:p>
      <w:pPr>
        <w:pStyle w:val="Normal"/>
        <w:rPr/>
      </w:pPr>
      <w:r>
        <w:rPr/>
        <w:t>Notebook Google Colab executável + gráfico de uma janela temporal + pelo menos duas verificações de qualidade técnica + arquivo CSV ou registro equivalente + quiz curto. A avaliação prioriza a aplicação dos fundamentos de Python, a clareza do código, os testes realizados e a interpretação correta dos eventos como problemas de dados/comunicação, não como diagnóstico.</w:t>
      </w:r>
    </w:p>
    <w:p>
      <w:pPr>
        <w:pStyle w:val="Heading1"/>
        <w:keepNext w:val="true"/>
        <w:rPr/>
      </w:pPr>
      <w:r>
        <w:rPr/>
        <w:t>Recursos e infraestrutura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Computador com navegador atualizado e acesso à Internet; conta Google para o Google Colab.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Notebook-base preparado pelo instrutor, com as rotinas de comunicação mais complexas já implementadas para que o foco permaneça em programação.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Firebase Realtime Database ou serviço equivalente previamente configurado para distribuir os dados aos notebooks dos participantes.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Estação do instrutor com placa/microcontrolador e sensores, ou publicador simulado; os computadores dos participantes não precisam de drivers nem de instalação local de Python.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Matplotlib e bibliotecas padrão do Python; Pandas não é conteúdo central deste curso, evitando sobreposição com módulos específicos de fundamentos/análise de dados.</w:t>
      </w:r>
    </w:p>
    <w:p>
      <w:pPr>
        <w:pStyle w:val="Heading1"/>
        <w:keepNext w:val="true"/>
        <w:rPr/>
      </w:pPr>
      <w:r>
        <w:rPr/>
        <w:t>Inclusão, acessibilidade, ética e segurança dos dados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Fornecer notebook inicial funcional e versão intermediária para participantes com diferentes níveis de experiência.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Usar títulos, legendas e mensagens textuais além de diferenciação por cor nos gráficos e alertas.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Utilizar dados sintéticos ou dados de bancada sem identificação de pessoas; não inserir dados pessoais ou prontuários em serviços externos.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Apresentar os sinais fisiológicos apenas como contexto de programação e qualidade de dados, sem emitir diagnóstico, recomendação ou classificação clínica.</w:t>
      </w:r>
    </w:p>
    <w:p>
      <w:pPr>
        <w:pStyle w:val="ListBullet"/>
        <w:numPr>
          <w:ilvl w:val="0"/>
          <w:numId w:val="1"/>
        </w:numPr>
        <w:spacing w:before="0" w:after="30"/>
        <w:ind w:hanging="102" w:left="255"/>
        <w:contextualSpacing/>
        <w:rPr/>
      </w:pPr>
      <w:r>
        <w:rPr/>
        <w:t>Manter modo simulado como contingência para falhas de hardware, rede ou serviço externo.</w:t>
      </w:r>
    </w:p>
    <w:p>
      <w:pPr>
        <w:pStyle w:val="Normal"/>
        <w:rPr/>
      </w:pPr>
      <w:r>
        <w:rPr>
          <w:b/>
          <w:color w:val="0F4C66"/>
        </w:rPr>
        <w:t xml:space="preserve">Nota técnica sobre o título: </w:t>
      </w:r>
      <w:r>
        <w:rPr/>
        <w:t>“tempo real” é utilizado no sentido didático de atualização contínua/quase em tempo real no notebook. A arquitetura com Internet, serviço em nuvem e Google Colab não constitui um sistema de tempo real determinístico.</w:t>
      </w:r>
    </w:p>
    <w:p>
      <w:pPr>
        <w:pStyle w:val="Normal"/>
        <w:widowControl/>
        <w:bidi w:val="0"/>
        <w:spacing w:lineRule="auto" w:line="240" w:before="0" w:after="60"/>
        <w:jc w:val="left"/>
        <w:rPr/>
      </w:pPr>
      <w:r>
        <w:rPr>
          <w:b/>
          <w:color w:val="0F4C66"/>
        </w:rPr>
        <w:t xml:space="preserve">Atividade assíncrona opcional no LMS: </w:t>
      </w:r>
      <w:r>
        <w:rPr/>
        <w:t>executar o notebook com um arquivo de dados gravado, acrescentar uma nova regra de qualidade e documentar três casos de teste.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935" w:right="935" w:gutter="0" w:header="369" w:top="879" w:footer="369" w:bottom="79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10034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017"/>
      <w:gridCol w:w="5016"/>
    </w:tblGrid>
    <w:tr>
      <w:trPr/>
      <w:tc>
        <w:tcPr>
          <w:tcW w:w="5017" w:type="dxa"/>
          <w:tcBorders/>
        </w:tcPr>
        <w:p>
          <w:pPr>
            <w:pStyle w:val="Normal"/>
            <w:spacing w:before="0" w:after="60"/>
            <w:jc w:val="left"/>
            <w:rPr/>
          </w:pPr>
          <w:r>
            <w:rPr>
              <w:color w:val="5A6870"/>
              <w:sz w:val="16"/>
            </w:rPr>
            <w:t>Prof. Dr. Guillermo Alvarez Bestard - versão 1.0 - 18/08/2026</w:t>
          </w:r>
        </w:p>
      </w:tc>
      <w:tc>
        <w:tcPr>
          <w:tcW w:w="5016" w:type="dxa"/>
          <w:tcBorders/>
        </w:tcPr>
        <w:p>
          <w:pPr>
            <w:pStyle w:val="Normal"/>
            <w:spacing w:before="0" w:after="60"/>
            <w:jc w:val="right"/>
            <w:rPr/>
          </w:pPr>
          <w:r>
            <w:rPr>
              <w:sz w:val="16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10034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5017"/>
      <w:gridCol w:w="5016"/>
    </w:tblGrid>
    <w:tr>
      <w:trPr/>
      <w:tc>
        <w:tcPr>
          <w:tcW w:w="5017" w:type="dxa"/>
          <w:tcBorders/>
        </w:tcPr>
        <w:p>
          <w:pPr>
            <w:pStyle w:val="Normal"/>
            <w:spacing w:before="0" w:after="60"/>
            <w:jc w:val="left"/>
            <w:rPr/>
          </w:pPr>
          <w:r>
            <w:rPr>
              <w:color w:val="5A6870"/>
              <w:sz w:val="16"/>
            </w:rPr>
            <w:t>Prof. Dr. Guillermo Alvarez Bestard - versão 1.0 - 18/08/2026</w:t>
          </w:r>
        </w:p>
      </w:tc>
      <w:tc>
        <w:tcPr>
          <w:tcW w:w="5016" w:type="dxa"/>
          <w:tcBorders/>
        </w:tcPr>
        <w:p>
          <w:pPr>
            <w:pStyle w:val="Normal"/>
            <w:spacing w:before="0" w:after="60"/>
            <w:jc w:val="right"/>
            <w:rPr/>
          </w:pPr>
          <w:r>
            <w:rPr>
              <w:sz w:val="16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color w:val="5A6870"/>
        <w:sz w:val="16"/>
      </w:rPr>
      <w:t>Projeto Ocean - Residência em TIC 53 | Plano de curso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color w:val="5A6870"/>
        <w:sz w:val="16"/>
      </w:rPr>
      <w:t>Projeto Ocean - Residência em TIC 53 | Plano de curso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60"/>
      <w:jc w:val="left"/>
    </w:pPr>
    <w:rPr>
      <w:rFonts w:ascii="Aptos" w:hAnsi="Aptos" w:eastAsia="Aptos" w:cs=""/>
      <w:color w:val="222222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20" w:after="8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F4C66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20" w:after="8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D789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2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F4C66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6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8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F4C66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6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6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6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6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6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6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6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6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6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MetaLabel" w:customStyle="1">
    <w:name w:val="MetaLabel"/>
    <w:qFormat/>
    <w:pPr>
      <w:widowControl/>
      <w:bidi w:val="0"/>
      <w:spacing w:lineRule="auto" w:line="276" w:before="0" w:after="0"/>
      <w:jc w:val="left"/>
    </w:pPr>
    <w:rPr>
      <w:rFonts w:ascii="Aptos" w:hAnsi="Aptos" w:eastAsia="ＭＳ 明朝" w:cs=""/>
      <w:b/>
      <w:color w:val="0F4C66"/>
      <w:kern w:val="0"/>
      <w:sz w:val="17"/>
      <w:szCs w:val="22"/>
      <w:lang w:val="en-US" w:eastAsia="en-US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849</Words>
  <Characters>4927</Characters>
  <CharactersWithSpaces>5683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2026-09-16T23:25:26Z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