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60"/>
        <w:jc w:val="left"/>
      </w:pPr>
      <w:r>
        <w:rPr>
          <w:rFonts w:ascii="Liberation Sans" w:hAnsi="Liberation Sans" w:eastAsia="Liberation Sans"/>
          <w:b/>
          <w:color w:val="17365D"/>
          <w:sz w:val="34"/>
        </w:rPr>
        <w:t>Plano de aula PR-09 - IA na Borda para Saúde Digital com Python e MicroPython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Trilha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Programação Aplicada à Saúde Digital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Carga horária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3 h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Organização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 encontro de 3 h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Modalidade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Pré-requisitos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Não exige sequência obrigatória. Noções básicas de Python são recomendadas; o material-base será fornecido.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Produto principal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Modelo simples treinado no Colab e inferência local em ESP32-S3 com MicroPython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Referência de duração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Curso introdutório aplicado de 3 h, com foco em implantação de um modelo pequeno na borda; não substitui um curso de Deep Learning/TinyML avançado.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Público</w:t>
            </w:r>
          </w:p>
        </w:tc>
        <w:tc>
          <w:tcPr>
            <w:tcW w:type="dxa" w:w="32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Acadêmicos, profissionais de saúde e tecnologia e interessados em programação aplicada à saúde digital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Resultados de aprendizagem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Distinguir treinamento e inferência, processamento em nuvem e processamento na borda, reconhecendo vantagens e limitações de cada abordagem.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Preparar um pequeno conjunto de dados sintéticos de saúde e treinar, em Python, um classificador supervisionado simples para fins didáticos.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Avaliar o modelo com uma separação treino/teste e métricas básicas, compreendendo que bom desempenho em dados didáticos não equivale a validação clínica.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Exportar normalização, pesos e termos independentes do modelo e reproduzir a mesma decisão com operações matemáticas simples, sem depender da biblioteca de treinamento.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Executar a inferência local em um ESP32-S3 utilizando MicroPython e comparar a saída do microcontrolador com a obtida no notebook.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Discutir latência, conectividade, privacidade, memória, consumo, confiabilidade e limites éticos do uso de IA na borda em saúde digital.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Conteúdo programático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Conceitos essenciais: IA, aprendizado de máquina, Edge AI, TinyML, treinamento, validação, inferência e implantação.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Arquitetura comparativa: dado -&gt; nuvem -&gt; modelo -&gt; resposta versus dado -&gt; dispositivo de borda -&gt; modelo -&gt; resposta.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Caso didático de saúde: três variáveis sintéticas (frequência cardíaca, SpO₂ e temperatura) e três classes artificiais de estado: NORMAL, ATENÇÃO e ANOMALIA.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Classificação supervisionada com modelo linear pequeno; padronização das entradas; separação treino/teste e leitura de métricas básicas.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Exportação de parâmetros do modelo e implementação explícita da função de inferência em Python.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MicroPython no ESP32-S3: REPL, arquivo de modelo, função de normalização, cálculo dos escores e seleção da classe.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Teste embarcado com casos previamente definidos; comparação Colab x ESP32-S3 e demonstração de inferência sem serviço de nuvem.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Visão de continuidade: modelos quantizados, TensorFlow Lite Micro/ESP-DL e TinyML mais avançado, apresentados apenas como próximos passos.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Privacidade e segurança dos dados; uso exclusivo de dados sintéticos/anonimizados; ausência de finalidade diagnóstica ou terapêutica.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Sequência didática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493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Duração da etapa</w:t>
            </w:r>
          </w:p>
        </w:tc>
        <w:tc>
          <w:tcPr>
            <w:tcW w:type="dxa" w:w="493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Atividade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15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Abertura, caso motivador e posicionamento do curso na trilha. Comparação entre inferência em nuvem e na borda.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20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Fundamentos de Edge AI/TinyML: treinamento x inferência, recursos do dispositivo, latência, conectividade e privacidade.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35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Dataset sintético: organização das três entradas, classes didáticas, divisão treino/teste e preparação dos dados no Google Colab.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30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Treinamento e avaliação de um classificador pequeno; leitura de acurácia, matriz de confusão e exemplos de erro.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25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Exportação da normalização e dos parâmetros; reconstrução da função de inferência em Python sem usar a biblioteca de treinamento.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15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MicroPython e ESP32-S3: arquitetura do projeto, REPL, arquivos fornecidos e teste mínimo de execução.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30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Hands-on: transferir parâmetros/script, executar inferência no ESP32-S3 e comparar casos com o notebook.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10 min</w:t>
            </w:r>
          </w:p>
        </w:tc>
        <w:tc>
          <w:tcPr>
            <w:tcW w:type="dxa" w:w="7257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C7D6E5"/>
              <w:left w:val="single" w:sz="4" w:color="C7D6E5"/>
              <w:bottom w:val="single" w:sz="4" w:color="C7D6E5"/>
              <w:right w:val="single" w:sz="4" w:color="C7D6E5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1F1F"/>
                <w:sz w:val="18"/>
              </w:rPr>
              <w:t>Teste final, síntese, limites clínicos e ponte para modelos quantizados/TensorFlow Lite Micro/ESP-DL.</w:t>
            </w:r>
          </w:p>
        </w:tc>
      </w:tr>
    </w:tbl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Desafio hands-on</w:t>
      </w:r>
    </w:p>
    <w:p>
      <w:pPr>
        <w:spacing w:after="60" w:line="252" w:lineRule="auto"/>
      </w:pPr>
      <w:r>
        <w:rPr>
          <w:rFonts w:ascii="Liberation Sans" w:hAnsi="Liberation Sans" w:eastAsia="Liberation Sans"/>
          <w:i w:val="0"/>
          <w:color w:val="1F1F1F"/>
          <w:sz w:val="18"/>
        </w:rPr>
        <w:t>Treinar no Colab um classificador pequeno com dados sintéticos, exportar os parâmetros necessários para uma implementação compacta e executar no ESP32-S3, com MicroPython, pelo menos três casos de teste. O resultado embarcado deve coincidir com a classe produzida pelo notebook para os mesmos dados. A inferência deve ocorrer localmente no microcontrolador; nenhum serviço de nuvem participa da classificação.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Avaliação e evidências</w:t>
      </w:r>
    </w:p>
    <w:p>
      <w:pPr>
        <w:spacing w:after="60" w:line="252" w:lineRule="auto"/>
      </w:pPr>
      <w:r>
        <w:rPr>
          <w:rFonts w:ascii="Liberation Sans" w:hAnsi="Liberation Sans" w:eastAsia="Liberation Sans"/>
          <w:i w:val="0"/>
          <w:color w:val="1F1F1F"/>
          <w:sz w:val="18"/>
        </w:rPr>
        <w:t>Notebook executado + arquivo de parâmetros/modelo em Python + script MicroPython funcional no ESP32-S3 + registro dos casos de teste e comparação Colab x microcontrolador. A avaliação considera funcionamento, capacidade de explicar o fluxo treinamento -&gt; exportação -&gt; inferência e identificação dos limites do exercício.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Recursos e infraestrutura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Computador com navegador e acesso ao Google Colab; Python, NumPy, Pandas e scikit-learn no notebook.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ESP32-S3 por participante ou por dupla, cabo USB de dados e ao menos uma placa reserva para contingência.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MicroPython previamente instalado nas placas. A gravação do firmware não faz parte do tempo didático principal.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Ferramenta de acesso ao REPL e transferência de arquivos previamente configurada no laboratório (por exemplo, Thonny/mpremote) ou alternativa equivalente preparada pelo instrutor.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Saída serial como evidência obrigatória; LED/RGB ou outro indicador físico pode ser usado como extensão, conforme a placa disponível.</w:t>
      </w:r>
    </w:p>
    <w:p>
      <w:pPr>
        <w:spacing w:after="60"/>
        <w:ind w:left="255" w:hanging="125"/>
      </w:pPr>
      <w:r>
        <w:rPr>
          <w:rFonts w:ascii="Liberation Sans" w:hAnsi="Liberation Sans" w:eastAsia="Liberation Sans"/>
          <w:b/>
          <w:color w:val="2F75B5"/>
          <w:sz w:val="18"/>
        </w:rPr>
        <w:t xml:space="preserve">• </w:t>
      </w:r>
      <w:r>
        <w:rPr>
          <w:rFonts w:ascii="Liberation Sans" w:hAnsi="Liberation Sans" w:eastAsia="Liberation Sans"/>
          <w:color w:val="1F1F1F"/>
          <w:sz w:val="18"/>
        </w:rPr>
        <w:t>Dataset exclusivamente sintético e arquivos-base/solução de referência disponibilizados no LMS.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Inclusão, acessibilidade, ética e segurança dos dados</w:t>
      </w:r>
    </w:p>
    <w:p>
      <w:pPr>
        <w:spacing w:after="60" w:line="252" w:lineRule="auto"/>
      </w:pPr>
      <w:r>
        <w:rPr>
          <w:rFonts w:ascii="Liberation Sans" w:hAnsi="Liberation Sans" w:eastAsia="Liberation Sans"/>
          <w:i w:val="0"/>
          <w:color w:val="1F1F1F"/>
          <w:sz w:val="18"/>
        </w:rPr>
        <w:t>Fornecer notebook parcialmente preenchido e script MicroPython-base para reduzir barreiras de entrada; permitir trabalho em duplas; apresentar fluxos e resultados também em texto, sem depender exclusivamente de cor. Utilizar apenas dados sintéticos, anonimizados ou públicos. As classes NORMAL, ATENÇÃO e ANOMALIA são rótulos artificiais do exercício e não correspondem a critérios médicos. O protótipo não deve ser conectado a paciente, prontuário ou equipamento clínico em uso.</w:t>
      </w:r>
    </w:p>
    <w:p>
      <w:pPr>
        <w:pStyle w:val="Heading1"/>
        <w:keepNext/>
      </w:pPr>
      <w:r>
        <w:rPr>
          <w:rFonts w:ascii="Liberation Sans" w:hAnsi="Liberation Sans" w:eastAsia="Liberation Sans"/>
          <w:b/>
          <w:color w:val="17365D"/>
          <w:sz w:val="26"/>
        </w:rPr>
        <w:t>Atividade assíncrona opcional no LMS</w:t>
      </w:r>
    </w:p>
    <w:p>
      <w:pPr>
        <w:spacing w:after="60" w:line="252" w:lineRule="auto"/>
      </w:pPr>
      <w:r>
        <w:rPr>
          <w:rFonts w:ascii="Liberation Sans" w:hAnsi="Liberation Sans" w:eastAsia="Liberation Sans"/>
          <w:i w:val="0"/>
          <w:color w:val="1F1F1F"/>
          <w:sz w:val="18"/>
        </w:rPr>
        <w:t>Comparar, em uma página ou notebook curto, duas arquiteturas para o mesmo caso: inferência em nuvem e inferência no dispositivo. Indicar vantagens, riscos e recursos necessários, incluindo ao menos latência, privacidade, conectividade e atualização do modelo.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370"/>
      <w:gridCol w:w="2494"/>
    </w:tblGrid>
    <w:tr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Liberation Sans" w:hAnsi="Liberation Sans" w:eastAsia="Liberation Sans"/>
              <w:color w:val="666666"/>
              <w:sz w:val="16"/>
            </w:rPr>
            <w:t>Prof. Dr. Guillermo Alvarez Bestard - versão 1.0 - 19/08/2026</w:t>
          </w:r>
        </w:p>
      </w:tc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 w:eastAsia="Liberation Sans"/>
              <w:color w:val="666666"/>
              <w:sz w:val="17"/>
            </w:rPr>
            <w:t xml:space="preserve">Página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1" w:color="2F75B5"/>
      </w:pBdr>
    </w:pPr>
    <w:r>
      <w:rPr>
        <w:rFonts w:ascii="Liberation Sans" w:hAnsi="Liberation Sans" w:eastAsia="Liberation Sans"/>
        <w:b/>
        <w:color w:val="17365D"/>
        <w:sz w:val="17"/>
      </w:rPr>
      <w:t>Projeto Ocean - Residência em TIC 53 | Plano de curso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