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6D0F9" w14:textId="77777777" w:rsidR="00E66CF3" w:rsidRDefault="00E66CF3">
      <w:pPr>
        <w:pStyle w:val="Title"/>
        <w:spacing w:before="0" w:after="0" w:line="240" w:lineRule="auto"/>
        <w:ind w:left="-6"/>
        <w:rPr>
          <w:rFonts w:ascii="Raleway" w:eastAsia="Raleway" w:hAnsi="Raleway" w:cs="Raleway"/>
          <w:color w:val="1A1A1A"/>
          <w:sz w:val="96"/>
          <w:szCs w:val="96"/>
        </w:rPr>
      </w:pPr>
      <w:bookmarkStart w:id="0" w:name="_6fxiynwr0aa5" w:colFirst="0" w:colLast="0"/>
      <w:bookmarkStart w:id="1" w:name="_Hlk168879306"/>
      <w:bookmarkEnd w:id="0"/>
      <w:bookmarkEnd w:id="1"/>
    </w:p>
    <w:p w14:paraId="21DBBB6C" w14:textId="77777777" w:rsidR="00E66CF3" w:rsidRDefault="00E66CF3"/>
    <w:p w14:paraId="05B1E558" w14:textId="77777777" w:rsidR="00E66CF3" w:rsidRDefault="00E66CF3"/>
    <w:p w14:paraId="14B822E9" w14:textId="77777777" w:rsidR="00E66CF3" w:rsidRDefault="00E66CF3"/>
    <w:p w14:paraId="771FF21F" w14:textId="77777777" w:rsidR="00E66CF3" w:rsidRDefault="00626B02">
      <w:pPr>
        <w:pStyle w:val="Title"/>
        <w:spacing w:before="0" w:after="0" w:line="240" w:lineRule="auto"/>
        <w:ind w:left="-6"/>
      </w:pPr>
      <w:bookmarkStart w:id="2" w:name="_s24vxhokn24" w:colFirst="0" w:colLast="0"/>
      <w:bookmarkEnd w:id="2"/>
      <w:r>
        <w:rPr>
          <w:rFonts w:ascii="Raleway" w:eastAsia="Raleway" w:hAnsi="Raleway" w:cs="Raleway"/>
          <w:noProof/>
          <w:color w:val="1A1A1A"/>
          <w:sz w:val="96"/>
          <w:szCs w:val="96"/>
        </w:rPr>
        <w:drawing>
          <wp:inline distT="114300" distB="114300" distL="114300" distR="114300" wp14:anchorId="7E8B539D" wp14:editId="4213BA27">
            <wp:extent cx="2514917" cy="843989"/>
            <wp:effectExtent l="0" t="0" r="0" b="0"/>
            <wp:docPr id="2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l="7526" t="21029" r="7686" b="22983"/>
                    <a:stretch>
                      <a:fillRect/>
                    </a:stretch>
                  </pic:blipFill>
                  <pic:spPr>
                    <a:xfrm>
                      <a:off x="0" y="0"/>
                      <a:ext cx="2514917" cy="8439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989948" w14:textId="76A76280" w:rsidR="00E66CF3" w:rsidRDefault="002F15E9">
      <w:pPr>
        <w:pStyle w:val="Title"/>
        <w:spacing w:before="0" w:after="0" w:line="240" w:lineRule="auto"/>
        <w:ind w:left="-6"/>
        <w:rPr>
          <w:rFonts w:ascii="Nunito" w:eastAsia="Nunito" w:hAnsi="Nunito" w:cs="Nunito"/>
          <w:color w:val="0D2C99"/>
          <w:sz w:val="96"/>
          <w:szCs w:val="96"/>
        </w:rPr>
      </w:pPr>
      <w:bookmarkStart w:id="3" w:name="_ta710xa7pwbn" w:colFirst="0" w:colLast="0"/>
      <w:bookmarkEnd w:id="3"/>
      <w:r>
        <w:rPr>
          <w:rFonts w:ascii="Nunito" w:eastAsia="Nunito" w:hAnsi="Nunito" w:cs="Nunito"/>
          <w:color w:val="0D2C99"/>
          <w:sz w:val="96"/>
          <w:szCs w:val="96"/>
        </w:rPr>
        <w:t>IVAO</w:t>
      </w:r>
      <w:r w:rsidR="00E029FB">
        <w:rPr>
          <w:rFonts w:ascii="Nunito" w:eastAsia="Nunito" w:hAnsi="Nunito" w:cs="Nunito"/>
          <w:color w:val="0D2C99"/>
          <w:sz w:val="96"/>
          <w:szCs w:val="96"/>
        </w:rPr>
        <w:t xml:space="preserve"> - </w:t>
      </w:r>
      <w:r>
        <w:rPr>
          <w:rFonts w:ascii="Nunito" w:eastAsia="Nunito" w:hAnsi="Nunito" w:cs="Nunito"/>
          <w:color w:val="0D2C99"/>
          <w:sz w:val="96"/>
          <w:szCs w:val="96"/>
        </w:rPr>
        <w:t>XO</w:t>
      </w:r>
    </w:p>
    <w:p w14:paraId="7361B884" w14:textId="77777777" w:rsidR="002F15E9" w:rsidRDefault="002F15E9">
      <w:pPr>
        <w:pStyle w:val="Heading1"/>
        <w:spacing w:after="0"/>
        <w:rPr>
          <w:rFonts w:ascii="Poppins ExtraLight" w:eastAsia="Poppins ExtraLight" w:hAnsi="Poppins ExtraLight" w:cs="Poppins ExtraLight"/>
          <w:color w:val="3C55AC"/>
          <w:sz w:val="40"/>
          <w:szCs w:val="40"/>
        </w:rPr>
      </w:pPr>
      <w:bookmarkStart w:id="4" w:name="_lu97bubfifxx" w:colFirst="0" w:colLast="0"/>
      <w:bookmarkEnd w:id="4"/>
      <w:r>
        <w:rPr>
          <w:rFonts w:ascii="Poppins ExtraLight" w:eastAsia="Poppins ExtraLight" w:hAnsi="Poppins ExtraLight" w:cs="Poppins ExtraLight"/>
          <w:color w:val="3C55AC"/>
          <w:sz w:val="40"/>
          <w:szCs w:val="40"/>
        </w:rPr>
        <w:t>ATC Ops Manual</w:t>
      </w:r>
    </w:p>
    <w:p w14:paraId="4467E8AF" w14:textId="77777777" w:rsidR="002F15E9" w:rsidRDefault="002F15E9">
      <w:pPr>
        <w:pStyle w:val="Heading1"/>
        <w:spacing w:after="0"/>
      </w:pPr>
    </w:p>
    <w:p w14:paraId="62580ABC" w14:textId="2D2FA55E" w:rsidR="002212F5" w:rsidRDefault="002F15E9">
      <w:pPr>
        <w:pStyle w:val="Heading1"/>
        <w:spacing w:after="0"/>
      </w:pPr>
      <w:r>
        <w:t xml:space="preserve">Sydney </w:t>
      </w:r>
      <w:r w:rsidR="008C19B3">
        <w:t>Delivery</w:t>
      </w:r>
    </w:p>
    <w:p w14:paraId="7C0A016B" w14:textId="48B1D9A8" w:rsidR="002212F5" w:rsidRPr="002212F5" w:rsidRDefault="002212F5">
      <w:pPr>
        <w:pStyle w:val="Heading1"/>
        <w:spacing w:after="0"/>
        <w:rPr>
          <w:i/>
          <w:iCs/>
          <w:sz w:val="28"/>
          <w:szCs w:val="28"/>
        </w:rPr>
      </w:pPr>
      <w:r w:rsidRPr="002212F5">
        <w:rPr>
          <w:i/>
          <w:iCs/>
          <w:sz w:val="28"/>
          <w:szCs w:val="28"/>
        </w:rPr>
        <w:t>YSSY_</w:t>
      </w:r>
      <w:r w:rsidR="008C19B3">
        <w:rPr>
          <w:i/>
          <w:iCs/>
          <w:sz w:val="28"/>
          <w:szCs w:val="28"/>
        </w:rPr>
        <w:t>DEL</w:t>
      </w:r>
    </w:p>
    <w:p w14:paraId="3C3D291C" w14:textId="6349E7A9" w:rsidR="00E66CF3" w:rsidRDefault="00626B02">
      <w:pPr>
        <w:pStyle w:val="Heading1"/>
        <w:spacing w:after="0"/>
      </w:pPr>
      <w:r>
        <w:br w:type="page"/>
      </w:r>
    </w:p>
    <w:p w14:paraId="329F0F09" w14:textId="77777777" w:rsidR="00477CBF" w:rsidRDefault="00477CBF" w:rsidP="00351AA8">
      <w:pPr>
        <w:pStyle w:val="Heading3"/>
        <w:spacing w:after="0"/>
        <w:jc w:val="left"/>
      </w:pPr>
      <w:bookmarkStart w:id="5" w:name="_63vp9unak15o" w:colFirst="0" w:colLast="0"/>
      <w:bookmarkStart w:id="6" w:name="_bmcltakl41x0" w:colFirst="0" w:colLast="0"/>
      <w:bookmarkEnd w:id="5"/>
      <w:bookmarkEnd w:id="6"/>
      <w:r>
        <w:lastRenderedPageBreak/>
        <w:t>Airport Information</w:t>
      </w:r>
    </w:p>
    <w:tbl>
      <w:tblPr>
        <w:tblW w:w="8985" w:type="dxa"/>
        <w:jc w:val="center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Look w:val="0420" w:firstRow="1" w:lastRow="0" w:firstColumn="0" w:lastColumn="0" w:noHBand="0" w:noVBand="1"/>
      </w:tblPr>
      <w:tblGrid>
        <w:gridCol w:w="3585"/>
        <w:gridCol w:w="5400"/>
      </w:tblGrid>
      <w:tr w:rsidR="00477CBF" w14:paraId="66D5C7F5" w14:textId="77777777" w:rsidTr="006C0B8E">
        <w:trPr>
          <w:trHeight w:val="495"/>
          <w:jc w:val="center"/>
        </w:trPr>
        <w:tc>
          <w:tcPr>
            <w:tcW w:w="8985" w:type="dxa"/>
            <w:gridSpan w:val="2"/>
            <w:shd w:val="clear" w:color="auto" w:fill="0070C0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B10994C" w14:textId="76D1CCAF" w:rsidR="00477CBF" w:rsidRPr="003738EA" w:rsidRDefault="00477CBF" w:rsidP="004107F1">
            <w:pPr>
              <w:spacing w:after="0"/>
              <w:jc w:val="center"/>
            </w:pPr>
            <w:r w:rsidRPr="003738EA">
              <w:t>Information</w:t>
            </w:r>
          </w:p>
        </w:tc>
      </w:tr>
      <w:tr w:rsidR="00477CBF" w14:paraId="6FD15375" w14:textId="77777777" w:rsidTr="003738EA">
        <w:trPr>
          <w:trHeight w:val="200"/>
          <w:jc w:val="center"/>
        </w:trPr>
        <w:tc>
          <w:tcPr>
            <w:tcW w:w="358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264E98E" w14:textId="77777777" w:rsidR="00477CBF" w:rsidRPr="00AD340B" w:rsidRDefault="00477CBF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AD340B">
              <w:rPr>
                <w:color w:val="000000"/>
                <w:sz w:val="20"/>
                <w:szCs w:val="20"/>
              </w:rPr>
              <w:t>ICAO Code</w:t>
            </w:r>
          </w:p>
        </w:tc>
        <w:tc>
          <w:tcPr>
            <w:tcW w:w="540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460C779" w14:textId="24F26562" w:rsidR="00477CBF" w:rsidRPr="00AD340B" w:rsidRDefault="002F15E9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YSSY</w:t>
            </w:r>
          </w:p>
        </w:tc>
      </w:tr>
      <w:tr w:rsidR="00477CBF" w14:paraId="1C1ACFBA" w14:textId="77777777" w:rsidTr="003738EA">
        <w:trPr>
          <w:trHeight w:val="200"/>
          <w:jc w:val="center"/>
        </w:trPr>
        <w:tc>
          <w:tcPr>
            <w:tcW w:w="358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C7B9BED" w14:textId="77777777" w:rsidR="00477CBF" w:rsidRPr="00AD340B" w:rsidRDefault="00477CBF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AD340B">
              <w:rPr>
                <w:color w:val="000000"/>
                <w:sz w:val="20"/>
                <w:szCs w:val="20"/>
              </w:rPr>
              <w:t>IATA Code</w:t>
            </w:r>
          </w:p>
        </w:tc>
        <w:tc>
          <w:tcPr>
            <w:tcW w:w="540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D19A6A5" w14:textId="54F58B4C" w:rsidR="00477CBF" w:rsidRPr="00AD340B" w:rsidRDefault="002F15E9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SYD</w:t>
            </w:r>
          </w:p>
        </w:tc>
      </w:tr>
      <w:tr w:rsidR="00477CBF" w14:paraId="02B35B0E" w14:textId="77777777" w:rsidTr="003738EA">
        <w:trPr>
          <w:trHeight w:val="200"/>
          <w:jc w:val="center"/>
        </w:trPr>
        <w:tc>
          <w:tcPr>
            <w:tcW w:w="358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B9FC67F" w14:textId="77777777" w:rsidR="00477CBF" w:rsidRPr="00AD340B" w:rsidRDefault="00477CBF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AD340B">
              <w:rPr>
                <w:color w:val="000000"/>
                <w:sz w:val="20"/>
                <w:szCs w:val="20"/>
              </w:rPr>
              <w:t>Airport name</w:t>
            </w:r>
          </w:p>
        </w:tc>
        <w:tc>
          <w:tcPr>
            <w:tcW w:w="540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01863A4" w14:textId="1FE750E8" w:rsidR="00477CBF" w:rsidRPr="00AD340B" w:rsidRDefault="002F15E9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Sydney Kingsford Smith Airport</w:t>
            </w:r>
          </w:p>
        </w:tc>
      </w:tr>
      <w:tr w:rsidR="00477CBF" w14:paraId="360FB759" w14:textId="77777777" w:rsidTr="003738EA">
        <w:trPr>
          <w:trHeight w:val="200"/>
          <w:jc w:val="center"/>
        </w:trPr>
        <w:tc>
          <w:tcPr>
            <w:tcW w:w="358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5B8DEB6" w14:textId="77777777" w:rsidR="00477CBF" w:rsidRPr="00AD340B" w:rsidRDefault="00477CBF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AD340B">
              <w:rPr>
                <w:color w:val="000000"/>
                <w:sz w:val="20"/>
                <w:szCs w:val="20"/>
              </w:rPr>
              <w:t>Time zone conversion</w:t>
            </w:r>
          </w:p>
        </w:tc>
        <w:tc>
          <w:tcPr>
            <w:tcW w:w="540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044AF8F" w14:textId="2EF7501E" w:rsidR="00477CBF" w:rsidRPr="00AD340B" w:rsidRDefault="00477CBF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AD340B">
              <w:rPr>
                <w:color w:val="000000"/>
                <w:sz w:val="20"/>
                <w:szCs w:val="20"/>
              </w:rPr>
              <w:t>UTC +</w:t>
            </w:r>
            <w:r w:rsidR="00C53C87">
              <w:rPr>
                <w:color w:val="000000"/>
                <w:sz w:val="20"/>
                <w:szCs w:val="20"/>
              </w:rPr>
              <w:t>10</w:t>
            </w:r>
          </w:p>
        </w:tc>
      </w:tr>
      <w:tr w:rsidR="00045476" w14:paraId="6A46BE2F" w14:textId="77777777" w:rsidTr="003738EA">
        <w:trPr>
          <w:trHeight w:val="200"/>
          <w:jc w:val="center"/>
        </w:trPr>
        <w:tc>
          <w:tcPr>
            <w:tcW w:w="358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5F26588" w14:textId="77777777" w:rsidR="00045476" w:rsidRPr="00AD340B" w:rsidRDefault="00045476" w:rsidP="00045476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AD340B">
              <w:rPr>
                <w:color w:val="000000"/>
                <w:sz w:val="20"/>
                <w:szCs w:val="20"/>
              </w:rPr>
              <w:t>Permitted traffic types</w:t>
            </w:r>
          </w:p>
        </w:tc>
        <w:tc>
          <w:tcPr>
            <w:tcW w:w="540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F2DC762" w14:textId="77777777" w:rsidR="00045476" w:rsidRPr="00AD340B" w:rsidRDefault="00045476" w:rsidP="00045476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AD340B">
              <w:rPr>
                <w:color w:val="000000"/>
                <w:sz w:val="20"/>
                <w:szCs w:val="20"/>
              </w:rPr>
              <w:t>IFR / VFR</w:t>
            </w:r>
          </w:p>
        </w:tc>
      </w:tr>
      <w:tr w:rsidR="00045476" w14:paraId="51219D96" w14:textId="77777777" w:rsidTr="003738EA">
        <w:trPr>
          <w:trHeight w:val="200"/>
          <w:jc w:val="center"/>
        </w:trPr>
        <w:tc>
          <w:tcPr>
            <w:tcW w:w="358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6FB0B22" w14:textId="60C95BFF" w:rsidR="00045476" w:rsidRPr="00AD340B" w:rsidRDefault="00045476" w:rsidP="00045476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AD340B">
              <w:rPr>
                <w:color w:val="000000"/>
                <w:sz w:val="20"/>
                <w:szCs w:val="20"/>
              </w:rPr>
              <w:t>Runway</w:t>
            </w:r>
            <w:r w:rsidR="00C53C87"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540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7E6ED12" w14:textId="6411B408" w:rsidR="00045476" w:rsidRPr="00AD340B" w:rsidRDefault="00C53C87" w:rsidP="00045476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16L</w:t>
            </w:r>
            <w:r w:rsidR="00045476" w:rsidRPr="00AD340B">
              <w:rPr>
                <w:color w:val="000000"/>
                <w:sz w:val="20"/>
                <w:szCs w:val="20"/>
              </w:rPr>
              <w:t>/</w:t>
            </w:r>
            <w:r>
              <w:rPr>
                <w:color w:val="000000"/>
                <w:sz w:val="20"/>
                <w:szCs w:val="20"/>
              </w:rPr>
              <w:t>34R, 16R/34L, 07/25</w:t>
            </w:r>
          </w:p>
        </w:tc>
      </w:tr>
    </w:tbl>
    <w:p w14:paraId="741377FE" w14:textId="77777777" w:rsidR="003738EA" w:rsidRDefault="003738EA" w:rsidP="003738EA"/>
    <w:p w14:paraId="1D021C14" w14:textId="48CE8C1B" w:rsidR="00D24EDD" w:rsidRDefault="00B137F2" w:rsidP="00D24EDD">
      <w:pPr>
        <w:pStyle w:val="Heading3"/>
        <w:spacing w:after="0"/>
        <w:jc w:val="left"/>
      </w:pPr>
      <w:r>
        <w:t>Delivery</w:t>
      </w:r>
      <w:r w:rsidR="00D24EDD">
        <w:t xml:space="preserve"> Positions</w:t>
      </w:r>
    </w:p>
    <w:tbl>
      <w:tblPr>
        <w:tblW w:w="9080" w:type="dxa"/>
        <w:jc w:val="center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Look w:val="0420" w:firstRow="1" w:lastRow="0" w:firstColumn="0" w:lastColumn="0" w:noHBand="0" w:noVBand="1"/>
      </w:tblPr>
      <w:tblGrid>
        <w:gridCol w:w="2240"/>
        <w:gridCol w:w="2880"/>
        <w:gridCol w:w="2340"/>
        <w:gridCol w:w="1620"/>
      </w:tblGrid>
      <w:tr w:rsidR="0001086A" w14:paraId="33B5AD5C" w14:textId="326E8399" w:rsidTr="0001086A">
        <w:trPr>
          <w:trHeight w:val="200"/>
          <w:jc w:val="center"/>
        </w:trPr>
        <w:tc>
          <w:tcPr>
            <w:tcW w:w="2240" w:type="dxa"/>
            <w:shd w:val="clear" w:color="auto" w:fill="0070C0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820F3C0" w14:textId="5E745D1A" w:rsidR="0001086A" w:rsidRPr="00AD340B" w:rsidRDefault="0001086A" w:rsidP="0054327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Logon:</w:t>
            </w:r>
          </w:p>
        </w:tc>
        <w:tc>
          <w:tcPr>
            <w:tcW w:w="2880" w:type="dxa"/>
            <w:shd w:val="clear" w:color="auto" w:fill="0070C0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333C266" w14:textId="23A48432" w:rsidR="0001086A" w:rsidRPr="00AD340B" w:rsidRDefault="0001086A" w:rsidP="0054327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Callsign</w:t>
            </w:r>
          </w:p>
        </w:tc>
        <w:tc>
          <w:tcPr>
            <w:tcW w:w="2340" w:type="dxa"/>
            <w:shd w:val="clear" w:color="auto" w:fill="0070C0"/>
          </w:tcPr>
          <w:p w14:paraId="37FD5823" w14:textId="4428C2CD" w:rsidR="0001086A" w:rsidRDefault="0001086A" w:rsidP="0054327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Frequency</w:t>
            </w:r>
          </w:p>
        </w:tc>
        <w:tc>
          <w:tcPr>
            <w:tcW w:w="1620" w:type="dxa"/>
            <w:shd w:val="clear" w:color="auto" w:fill="0070C0"/>
          </w:tcPr>
          <w:p w14:paraId="54BB5B93" w14:textId="4C92D4DF" w:rsidR="0001086A" w:rsidRDefault="0001086A" w:rsidP="0054327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FRA</w:t>
            </w:r>
          </w:p>
        </w:tc>
      </w:tr>
      <w:tr w:rsidR="0001086A" w14:paraId="185EA71B" w14:textId="454A8C01" w:rsidTr="0001086A">
        <w:trPr>
          <w:trHeight w:val="200"/>
          <w:jc w:val="center"/>
        </w:trPr>
        <w:tc>
          <w:tcPr>
            <w:tcW w:w="22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BC87A76" w14:textId="618D4F52" w:rsidR="0001086A" w:rsidRPr="00AD340B" w:rsidRDefault="0001086A" w:rsidP="0054327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YSSY_</w:t>
            </w:r>
            <w:r w:rsidR="008C19B3">
              <w:rPr>
                <w:color w:val="000000"/>
                <w:sz w:val="20"/>
                <w:szCs w:val="20"/>
              </w:rPr>
              <w:t>DEL</w:t>
            </w:r>
          </w:p>
        </w:tc>
        <w:tc>
          <w:tcPr>
            <w:tcW w:w="288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50EEB1E" w14:textId="6F874324" w:rsidR="0001086A" w:rsidRPr="00AD340B" w:rsidRDefault="0001086A" w:rsidP="0054327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Sydney </w:t>
            </w:r>
            <w:r w:rsidR="008C19B3">
              <w:rPr>
                <w:color w:val="000000"/>
                <w:sz w:val="20"/>
                <w:szCs w:val="20"/>
              </w:rPr>
              <w:t>Delivery</w:t>
            </w:r>
          </w:p>
        </w:tc>
        <w:tc>
          <w:tcPr>
            <w:tcW w:w="2340" w:type="dxa"/>
          </w:tcPr>
          <w:p w14:paraId="7ED81DF2" w14:textId="625D3F06" w:rsidR="0001086A" w:rsidRDefault="001B6D4B" w:rsidP="00543275">
            <w:pPr>
              <w:spacing w:after="0"/>
              <w:jc w:val="center"/>
              <w:rPr>
                <w:noProof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t>121.700MHz</w:t>
            </w:r>
          </w:p>
        </w:tc>
        <w:tc>
          <w:tcPr>
            <w:tcW w:w="1620" w:type="dxa"/>
          </w:tcPr>
          <w:p w14:paraId="57E9E0D9" w14:textId="3387E139" w:rsidR="0001086A" w:rsidRDefault="0001086A" w:rsidP="0054327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55F3E4CD" wp14:editId="1A221EF3">
                  <wp:extent cx="826936" cy="236267"/>
                  <wp:effectExtent l="0" t="0" r="0" b="0"/>
                  <wp:docPr id="20016258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512" cy="2592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06A558" w14:textId="77777777" w:rsidR="00D24EDD" w:rsidRDefault="00D24EDD" w:rsidP="003738EA"/>
    <w:p w14:paraId="0FE37E54" w14:textId="41766022" w:rsidR="006A1173" w:rsidRDefault="006A1173" w:rsidP="000D7B01">
      <w:pPr>
        <w:pStyle w:val="ListParagraph"/>
        <w:numPr>
          <w:ilvl w:val="0"/>
          <w:numId w:val="12"/>
        </w:numPr>
        <w:jc w:val="left"/>
      </w:pPr>
      <w:r>
        <w:t>YSSY_</w:t>
      </w:r>
      <w:r w:rsidR="00E30A90">
        <w:t>DEL</w:t>
      </w:r>
      <w:r>
        <w:t xml:space="preserve"> shall </w:t>
      </w:r>
      <w:r w:rsidRPr="000D7B01">
        <w:rPr>
          <w:b/>
          <w:bCs/>
        </w:rPr>
        <w:t>only</w:t>
      </w:r>
      <w:r>
        <w:t xml:space="preserve"> be opened when YSSY_</w:t>
      </w:r>
      <w:r w:rsidR="00E30A90">
        <w:t>GND and YSSY_TWR</w:t>
      </w:r>
      <w:r>
        <w:t xml:space="preserve"> </w:t>
      </w:r>
      <w:r w:rsidR="00346478">
        <w:t>are</w:t>
      </w:r>
      <w:r>
        <w:t xml:space="preserve"> already online. </w:t>
      </w:r>
    </w:p>
    <w:p w14:paraId="1250EFD4" w14:textId="77777777" w:rsidR="000D7B01" w:rsidRDefault="000D7B01" w:rsidP="006A1173">
      <w:pPr>
        <w:jc w:val="left"/>
      </w:pPr>
    </w:p>
    <w:p w14:paraId="56ACB4BE" w14:textId="77777777" w:rsidR="002212F5" w:rsidRDefault="002212F5" w:rsidP="006A1173">
      <w:pPr>
        <w:jc w:val="left"/>
        <w:rPr>
          <w:i/>
          <w:iCs/>
        </w:rPr>
      </w:pPr>
    </w:p>
    <w:p w14:paraId="3D4ED657" w14:textId="77777777" w:rsidR="00E30A90" w:rsidRDefault="00E30A90" w:rsidP="006A1173">
      <w:pPr>
        <w:jc w:val="left"/>
        <w:rPr>
          <w:i/>
          <w:iCs/>
        </w:rPr>
      </w:pPr>
    </w:p>
    <w:p w14:paraId="4AF91126" w14:textId="77777777" w:rsidR="00E30A90" w:rsidRDefault="00E30A90" w:rsidP="006A1173">
      <w:pPr>
        <w:jc w:val="left"/>
        <w:rPr>
          <w:i/>
          <w:iCs/>
        </w:rPr>
      </w:pPr>
    </w:p>
    <w:p w14:paraId="1EB0CE5A" w14:textId="77777777" w:rsidR="00E30A90" w:rsidRDefault="00E30A90" w:rsidP="006A1173">
      <w:pPr>
        <w:jc w:val="left"/>
        <w:rPr>
          <w:i/>
          <w:iCs/>
        </w:rPr>
      </w:pPr>
    </w:p>
    <w:p w14:paraId="2911BDFF" w14:textId="77777777" w:rsidR="00E30A90" w:rsidRDefault="00E30A90" w:rsidP="006A1173">
      <w:pPr>
        <w:jc w:val="left"/>
        <w:rPr>
          <w:i/>
          <w:iCs/>
        </w:rPr>
      </w:pPr>
    </w:p>
    <w:p w14:paraId="67384064" w14:textId="77777777" w:rsidR="00E30A90" w:rsidRDefault="00E30A90" w:rsidP="006A1173">
      <w:pPr>
        <w:jc w:val="left"/>
        <w:rPr>
          <w:i/>
          <w:iCs/>
        </w:rPr>
      </w:pPr>
    </w:p>
    <w:p w14:paraId="6E407D86" w14:textId="77777777" w:rsidR="00E30A90" w:rsidRDefault="00E30A90" w:rsidP="006A1173">
      <w:pPr>
        <w:jc w:val="left"/>
        <w:rPr>
          <w:i/>
          <w:iCs/>
        </w:rPr>
      </w:pPr>
    </w:p>
    <w:p w14:paraId="4D612C81" w14:textId="77777777" w:rsidR="00E30A90" w:rsidRDefault="00E30A90" w:rsidP="006A1173">
      <w:pPr>
        <w:jc w:val="left"/>
        <w:rPr>
          <w:i/>
          <w:iCs/>
        </w:rPr>
      </w:pPr>
    </w:p>
    <w:p w14:paraId="12510C16" w14:textId="77777777" w:rsidR="00E30A90" w:rsidRDefault="00E30A90" w:rsidP="006A1173">
      <w:pPr>
        <w:jc w:val="left"/>
        <w:rPr>
          <w:i/>
          <w:iCs/>
        </w:rPr>
      </w:pPr>
    </w:p>
    <w:p w14:paraId="7397FAF4" w14:textId="235FE186" w:rsidR="0088282E" w:rsidRDefault="0088282E" w:rsidP="0088282E">
      <w:pPr>
        <w:pStyle w:val="Heading3"/>
        <w:spacing w:after="200"/>
      </w:pPr>
      <w:r>
        <w:lastRenderedPageBreak/>
        <w:t>Responsibilities</w:t>
      </w:r>
    </w:p>
    <w:p w14:paraId="340B22CE" w14:textId="1F198851" w:rsidR="0049224C" w:rsidRDefault="0088282E" w:rsidP="00346478">
      <w:pPr>
        <w:jc w:val="left"/>
      </w:pPr>
      <w:r>
        <w:t xml:space="preserve">Sydney </w:t>
      </w:r>
      <w:r w:rsidR="00346478">
        <w:t xml:space="preserve">Delivery is </w:t>
      </w:r>
      <w:r w:rsidR="00667ADC">
        <w:t xml:space="preserve">solely responsible for the handling of clearance delivery. It has no authority over any of the maneuvering areas or aprons. </w:t>
      </w:r>
    </w:p>
    <w:p w14:paraId="2C155C9C" w14:textId="77777777" w:rsidR="00D71778" w:rsidRDefault="00D71778" w:rsidP="00346478">
      <w:pPr>
        <w:jc w:val="left"/>
      </w:pPr>
    </w:p>
    <w:p w14:paraId="4ADFFBA7" w14:textId="58FA8EAA" w:rsidR="003D59BC" w:rsidRDefault="005D5047" w:rsidP="003D59BC">
      <w:pPr>
        <w:pStyle w:val="Heading3"/>
        <w:spacing w:after="200"/>
      </w:pPr>
      <w:r>
        <w:t>Coordination</w:t>
      </w:r>
    </w:p>
    <w:p w14:paraId="6BAC2D2E" w14:textId="3BDE5901" w:rsidR="00310012" w:rsidRDefault="005D5047" w:rsidP="00310012">
      <w:pPr>
        <w:jc w:val="left"/>
      </w:pPr>
      <w:r>
        <w:t>Delivery is responsible for coordinating where required with the relevant departure controller</w:t>
      </w:r>
      <w:r w:rsidR="00310012">
        <w:t>, prior to giving clearances involving the following:</w:t>
      </w:r>
    </w:p>
    <w:p w14:paraId="6992C60A" w14:textId="3A293B6F" w:rsidR="00310012" w:rsidRDefault="00310012" w:rsidP="00310012">
      <w:pPr>
        <w:pStyle w:val="ListParagraph"/>
        <w:numPr>
          <w:ilvl w:val="0"/>
          <w:numId w:val="14"/>
        </w:numPr>
        <w:jc w:val="left"/>
      </w:pPr>
      <w:r>
        <w:t xml:space="preserve">Departure from a runway </w:t>
      </w:r>
      <w:r w:rsidR="003133D3">
        <w:t>not included on the ATIS.</w:t>
      </w:r>
    </w:p>
    <w:p w14:paraId="739B6D63" w14:textId="11359F8B" w:rsidR="003133D3" w:rsidRDefault="003133D3" w:rsidP="00310012">
      <w:pPr>
        <w:pStyle w:val="ListParagraph"/>
        <w:numPr>
          <w:ilvl w:val="0"/>
          <w:numId w:val="14"/>
        </w:numPr>
        <w:jc w:val="left"/>
      </w:pPr>
      <w:r>
        <w:t>VFR departures</w:t>
      </w:r>
    </w:p>
    <w:p w14:paraId="2D01EF50" w14:textId="7635F768" w:rsidR="00EC0D76" w:rsidRDefault="00EC0D76" w:rsidP="00310012">
      <w:pPr>
        <w:pStyle w:val="ListParagraph"/>
        <w:numPr>
          <w:ilvl w:val="0"/>
          <w:numId w:val="14"/>
        </w:numPr>
        <w:jc w:val="left"/>
      </w:pPr>
      <w:r>
        <w:t>Non-standard requests</w:t>
      </w:r>
    </w:p>
    <w:p w14:paraId="0BD670A7" w14:textId="0A4E188A" w:rsidR="00AD595D" w:rsidRDefault="00F16871" w:rsidP="00310012">
      <w:pPr>
        <w:pStyle w:val="ListParagraph"/>
        <w:numPr>
          <w:ilvl w:val="0"/>
          <w:numId w:val="14"/>
        </w:numPr>
        <w:jc w:val="left"/>
      </w:pPr>
      <w:r>
        <w:t>High performance jet departures</w:t>
      </w:r>
    </w:p>
    <w:p w14:paraId="6A24FCAF" w14:textId="765CAD79" w:rsidR="007E13E3" w:rsidRDefault="007E13E3" w:rsidP="00310012">
      <w:pPr>
        <w:pStyle w:val="ListParagraph"/>
        <w:numPr>
          <w:ilvl w:val="0"/>
          <w:numId w:val="14"/>
        </w:numPr>
        <w:jc w:val="left"/>
      </w:pPr>
      <w:r>
        <w:t>Local flights</w:t>
      </w:r>
    </w:p>
    <w:p w14:paraId="5182FAF9" w14:textId="01D2FEA7" w:rsidR="00282947" w:rsidRDefault="00282947" w:rsidP="00282947">
      <w:pPr>
        <w:jc w:val="left"/>
      </w:pPr>
      <w:r>
        <w:t xml:space="preserve">The departure controller may then issue instructions including </w:t>
      </w:r>
      <w:r w:rsidR="006539BF">
        <w:t>a routing, heading, or altitude constraint</w:t>
      </w:r>
      <w:r w:rsidR="00F16871">
        <w:t>, which must be passed on in the clearance</w:t>
      </w:r>
      <w:r w:rsidR="006539BF">
        <w:t>.</w:t>
      </w:r>
    </w:p>
    <w:p w14:paraId="29323442" w14:textId="0B0FE964" w:rsidR="006539BF" w:rsidRPr="00FD5604" w:rsidRDefault="006539BF" w:rsidP="00282947">
      <w:pPr>
        <w:jc w:val="left"/>
        <w:rPr>
          <w:i/>
          <w:iCs/>
        </w:rPr>
      </w:pPr>
      <w:r w:rsidRPr="00FD5604">
        <w:rPr>
          <w:i/>
          <w:iCs/>
        </w:rPr>
        <w:t xml:space="preserve">Note: The </w:t>
      </w:r>
      <w:r w:rsidR="001E3802" w:rsidRPr="00FD5604">
        <w:rPr>
          <w:i/>
          <w:iCs/>
        </w:rPr>
        <w:t>departure controller refers to the controller responsible</w:t>
      </w:r>
      <w:r w:rsidR="006F65CB">
        <w:rPr>
          <w:i/>
          <w:iCs/>
        </w:rPr>
        <w:t xml:space="preserve"> for</w:t>
      </w:r>
      <w:r w:rsidR="001E3802" w:rsidRPr="00FD5604">
        <w:rPr>
          <w:i/>
          <w:iCs/>
        </w:rPr>
        <w:t xml:space="preserve"> working departures, </w:t>
      </w:r>
      <w:r w:rsidR="00CD0096" w:rsidRPr="00FD5604">
        <w:rPr>
          <w:i/>
          <w:iCs/>
        </w:rPr>
        <w:t>this may</w:t>
      </w:r>
      <w:r w:rsidR="00A93DDF">
        <w:rPr>
          <w:i/>
          <w:iCs/>
        </w:rPr>
        <w:t xml:space="preserve"> be</w:t>
      </w:r>
      <w:r w:rsidR="00CD0096" w:rsidRPr="00FD5604">
        <w:rPr>
          <w:i/>
          <w:iCs/>
        </w:rPr>
        <w:t xml:space="preserve"> YSSY_DEP</w:t>
      </w:r>
      <w:r w:rsidR="00A73965" w:rsidRPr="00FD5604">
        <w:rPr>
          <w:i/>
          <w:iCs/>
        </w:rPr>
        <w:t>, YSSY_NE_DEP, YSSY_SW_DEP, YSSY_AP</w:t>
      </w:r>
      <w:r w:rsidR="00BA124E">
        <w:rPr>
          <w:i/>
          <w:iCs/>
        </w:rPr>
        <w:t>P, or in rare cases</w:t>
      </w:r>
      <w:r w:rsidR="00A73965" w:rsidRPr="00FD5604">
        <w:rPr>
          <w:i/>
          <w:iCs/>
        </w:rPr>
        <w:t xml:space="preserve"> YSSY_</w:t>
      </w:r>
      <w:r w:rsidR="00FD5604" w:rsidRPr="00FD5604">
        <w:rPr>
          <w:i/>
          <w:iCs/>
        </w:rPr>
        <w:t>N_APP, or YSSY_S_APP</w:t>
      </w:r>
      <w:r w:rsidR="00FD5604">
        <w:rPr>
          <w:i/>
          <w:iCs/>
        </w:rPr>
        <w:t>, depending on positions open and runway in use</w:t>
      </w:r>
      <w:r w:rsidR="00FD5604" w:rsidRPr="00FD5604">
        <w:rPr>
          <w:i/>
          <w:iCs/>
        </w:rPr>
        <w:t>.</w:t>
      </w:r>
      <w:r w:rsidR="007119AB">
        <w:rPr>
          <w:i/>
          <w:iCs/>
        </w:rPr>
        <w:t xml:space="preserve"> See the ‘Transfer to Departures’ section within Sydney Tower Ops Manual for clarification.</w:t>
      </w:r>
    </w:p>
    <w:p w14:paraId="729AEA29" w14:textId="77777777" w:rsidR="003C0851" w:rsidRDefault="003C0851" w:rsidP="00477CBF">
      <w:pPr>
        <w:pStyle w:val="Heading3"/>
        <w:spacing w:after="200"/>
      </w:pPr>
    </w:p>
    <w:p w14:paraId="37A4ACB4" w14:textId="3AABF9CC" w:rsidR="00477CBF" w:rsidRDefault="00F16871" w:rsidP="00477CBF">
      <w:pPr>
        <w:pStyle w:val="Heading3"/>
        <w:spacing w:after="200"/>
      </w:pPr>
      <w:r>
        <w:t>Runway Assignment</w:t>
      </w:r>
    </w:p>
    <w:p w14:paraId="48F601D4" w14:textId="77777777" w:rsidR="00785D04" w:rsidRDefault="00C277FC" w:rsidP="00A43EAB">
      <w:pPr>
        <w:jc w:val="left"/>
      </w:pPr>
      <w:r>
        <w:t xml:space="preserve">When operating parallel runway </w:t>
      </w:r>
      <w:r w:rsidR="000D0B81">
        <w:t>operations,</w:t>
      </w:r>
      <w:r w:rsidR="00735BC6">
        <w:t xml:space="preserve"> aircraft departing to the north </w:t>
      </w:r>
      <w:r w:rsidR="00EB0DC7">
        <w:t xml:space="preserve">and </w:t>
      </w:r>
      <w:r w:rsidR="00735BC6">
        <w:t xml:space="preserve">east should be assigned runway </w:t>
      </w:r>
      <w:r w:rsidR="00EB0DC7">
        <w:t>16L or 34R, and aircraft departing to the south and west should be assigned runway 16R or 34L</w:t>
      </w:r>
      <w:r w:rsidR="00C822F2">
        <w:t xml:space="preserve">. An exception applies </w:t>
      </w:r>
      <w:r w:rsidR="003D37C0">
        <w:t>for large aircraft which require 16L or 34R due to the runway length.</w:t>
      </w:r>
    </w:p>
    <w:p w14:paraId="7EB59E5C" w14:textId="49682DE1" w:rsidR="003C0851" w:rsidRDefault="00785D04" w:rsidP="00A43EAB">
      <w:pPr>
        <w:jc w:val="left"/>
      </w:pPr>
      <w:r>
        <w:t>With PR</w:t>
      </w:r>
      <w:r w:rsidR="00B36BC9">
        <w:t xml:space="preserve">Ops in use, consideration should be given to offering runway 25 to AM </w:t>
      </w:r>
      <w:r w:rsidR="007D0B9F">
        <w:t xml:space="preserve">(Ambulance) </w:t>
      </w:r>
      <w:r w:rsidR="00B36BC9">
        <w:t>flights operating from DOM</w:t>
      </w:r>
      <w:r w:rsidR="007D0B9F">
        <w:t>5 due to their priority status, dependent on winds and traffic capacity.</w:t>
      </w:r>
    </w:p>
    <w:p w14:paraId="47FB93AF" w14:textId="3C6422F1" w:rsidR="001016ED" w:rsidRDefault="001016ED" w:rsidP="001016ED">
      <w:pPr>
        <w:pStyle w:val="Heading3"/>
        <w:spacing w:after="200"/>
      </w:pPr>
      <w:r>
        <w:lastRenderedPageBreak/>
        <w:t>Standard Assignable Level</w:t>
      </w:r>
    </w:p>
    <w:p w14:paraId="5DB0F835" w14:textId="17A640E7" w:rsidR="001016ED" w:rsidRDefault="00BC234C" w:rsidP="00A43EAB">
      <w:pPr>
        <w:jc w:val="left"/>
      </w:pPr>
      <w:r>
        <w:t xml:space="preserve">Clearance Delivery are responsible for assigning an initial climb in the clearance. </w:t>
      </w:r>
      <w:r w:rsidR="00BF5E59">
        <w:t xml:space="preserve">Unless otherwise coordinated between </w:t>
      </w:r>
      <w:r w:rsidR="00DD7A86">
        <w:t>Delivery and Departures, this shall be:</w:t>
      </w:r>
    </w:p>
    <w:p w14:paraId="12FD6021" w14:textId="2EAAE134" w:rsidR="00DD7A86" w:rsidRDefault="00757695" w:rsidP="00A43EAB">
      <w:pPr>
        <w:jc w:val="left"/>
      </w:pPr>
      <w:r>
        <w:t>Jets</w:t>
      </w:r>
      <w:r w:rsidR="00DD7A86">
        <w:t>: 5000ft, or the requested RFL, whichever is lower.</w:t>
      </w:r>
    </w:p>
    <w:p w14:paraId="5D94B028" w14:textId="475D540C" w:rsidR="001016ED" w:rsidRDefault="00757695" w:rsidP="00A43EAB">
      <w:pPr>
        <w:jc w:val="left"/>
      </w:pPr>
      <w:r>
        <w:t>Props</w:t>
      </w:r>
      <w:r w:rsidR="00DD7A86">
        <w:t>: 3000ft, or the requested RFL, whichever is lower.</w:t>
      </w:r>
    </w:p>
    <w:p w14:paraId="4F1BBA61" w14:textId="77777777" w:rsidR="001016ED" w:rsidRDefault="001016ED" w:rsidP="00A43EAB">
      <w:pPr>
        <w:jc w:val="left"/>
      </w:pPr>
    </w:p>
    <w:p w14:paraId="48B3620F" w14:textId="30CBDC10" w:rsidR="006D71E2" w:rsidRDefault="006D71E2" w:rsidP="006D71E2">
      <w:pPr>
        <w:pStyle w:val="Heading3"/>
        <w:spacing w:after="200"/>
      </w:pPr>
      <w:r>
        <w:t>VFR Clearance</w:t>
      </w:r>
    </w:p>
    <w:p w14:paraId="56018B4E" w14:textId="0A392408" w:rsidR="00BE24ED" w:rsidRDefault="006D71E2" w:rsidP="00A43EAB">
      <w:pPr>
        <w:jc w:val="left"/>
      </w:pPr>
      <w:r>
        <w:t>Clearance Delivery</w:t>
      </w:r>
      <w:r w:rsidR="00C77A20">
        <w:t xml:space="preserve"> will issue a standard VFR clearance to </w:t>
      </w:r>
      <w:r w:rsidR="00BE24ED">
        <w:t>VFR aircraft only after coordinating with Approach (see coordination).</w:t>
      </w:r>
    </w:p>
    <w:p w14:paraId="1401F927" w14:textId="0FC27403" w:rsidR="00BE24ED" w:rsidRDefault="00BE24ED" w:rsidP="00A43EAB">
      <w:pPr>
        <w:jc w:val="left"/>
      </w:pPr>
      <w:r>
        <w:t>Example:</w:t>
      </w:r>
    </w:p>
    <w:p w14:paraId="5EDB62F7" w14:textId="07A74896" w:rsidR="00BE24ED" w:rsidRDefault="00B21C3F" w:rsidP="00D64011">
      <w:pPr>
        <w:ind w:left="720"/>
        <w:jc w:val="left"/>
      </w:pPr>
      <w:r>
        <w:t xml:space="preserve">ABC Sydney Delivery g’day. Cleared to </w:t>
      </w:r>
      <w:r w:rsidR="009B1AE7">
        <w:t>Canberra via Dolls Point</w:t>
      </w:r>
      <w:r w:rsidR="006B4D5A">
        <w:t xml:space="preserve">. </w:t>
      </w:r>
      <w:r w:rsidR="00933C83">
        <w:t xml:space="preserve">Maintain </w:t>
      </w:r>
      <w:r w:rsidR="00D64011">
        <w:t>3,0</w:t>
      </w:r>
      <w:r w:rsidR="00933C83">
        <w:t xml:space="preserve">00. Squawk </w:t>
      </w:r>
      <w:r w:rsidR="00D64011">
        <w:t>5634. Departures on 123.0.</w:t>
      </w:r>
    </w:p>
    <w:p w14:paraId="1E240381" w14:textId="4CBCDC88" w:rsidR="00D64011" w:rsidRDefault="009926E6" w:rsidP="00D64011">
      <w:pPr>
        <w:jc w:val="left"/>
      </w:pPr>
      <w:r>
        <w:t>What if Departures issue instructions?</w:t>
      </w:r>
    </w:p>
    <w:p w14:paraId="752272FB" w14:textId="457CAB4A" w:rsidR="009926E6" w:rsidRPr="0050118E" w:rsidRDefault="009926E6" w:rsidP="001C001E">
      <w:pPr>
        <w:ind w:left="720"/>
        <w:jc w:val="left"/>
        <w:rPr>
          <w:i/>
          <w:iCs/>
        </w:rPr>
      </w:pPr>
      <w:r w:rsidRPr="0050118E">
        <w:rPr>
          <w:i/>
          <w:iCs/>
        </w:rPr>
        <w:t>DEP &gt; DEL: ABC</w:t>
      </w:r>
      <w:r w:rsidR="00ED1A9F" w:rsidRPr="0050118E">
        <w:rPr>
          <w:i/>
          <w:iCs/>
        </w:rPr>
        <w:t xml:space="preserve"> cleared to Canberra via </w:t>
      </w:r>
      <w:r w:rsidR="00924D9F" w:rsidRPr="0050118E">
        <w:rPr>
          <w:i/>
          <w:iCs/>
        </w:rPr>
        <w:t>PNP. 2000ft.</w:t>
      </w:r>
      <w:r w:rsidR="001C001E" w:rsidRPr="0050118E">
        <w:rPr>
          <w:i/>
          <w:iCs/>
        </w:rPr>
        <w:t xml:space="preserve"> Assigned left heading 330.</w:t>
      </w:r>
    </w:p>
    <w:p w14:paraId="47A41A62" w14:textId="63CF23B3" w:rsidR="00BB6687" w:rsidRPr="0050118E" w:rsidRDefault="001C001E" w:rsidP="00BB6687">
      <w:pPr>
        <w:ind w:left="720"/>
        <w:jc w:val="left"/>
        <w:rPr>
          <w:i/>
          <w:iCs/>
        </w:rPr>
      </w:pPr>
      <w:r w:rsidRPr="0050118E">
        <w:rPr>
          <w:i/>
          <w:iCs/>
        </w:rPr>
        <w:t xml:space="preserve">DEL &gt; DEP: </w:t>
      </w:r>
      <w:r w:rsidR="00BB6687" w:rsidRPr="0050118E">
        <w:rPr>
          <w:i/>
          <w:iCs/>
        </w:rPr>
        <w:t>Cleared to Canberra via PNP. 2000ft. Assigned left heading 330, ABC.</w:t>
      </w:r>
    </w:p>
    <w:p w14:paraId="071662FE" w14:textId="6E4A155D" w:rsidR="00F829EA" w:rsidRDefault="00F829EA" w:rsidP="00F829EA">
      <w:pPr>
        <w:ind w:left="720"/>
        <w:jc w:val="left"/>
      </w:pPr>
      <w:r>
        <w:t>DEL &gt; ABC: ABC Sydney Delivery g’day. Cleared to Canberra via Picnic Park. Maintain 2,000. Squawk 5634. Departures on 123.0.</w:t>
      </w:r>
    </w:p>
    <w:p w14:paraId="0DD9D4C7" w14:textId="166F94CA" w:rsidR="0082142E" w:rsidRPr="0082142E" w:rsidRDefault="0082142E" w:rsidP="0082142E">
      <w:pPr>
        <w:jc w:val="left"/>
        <w:rPr>
          <w:b/>
          <w:bCs/>
        </w:rPr>
      </w:pPr>
      <w:r w:rsidRPr="0082142E">
        <w:rPr>
          <w:b/>
          <w:bCs/>
        </w:rPr>
        <w:t>**H330 MUST BE INCLUDED ON THE STRIP FOR TOWER TO ASSIGN WITH TAKEOFF CLEARANCE</w:t>
      </w:r>
      <w:r w:rsidR="00C4522A">
        <w:rPr>
          <w:b/>
          <w:bCs/>
        </w:rPr>
        <w:t>, IT IS ALSO RECOMMENDED TO COORDINATE DIRECTLY WITH TOWER</w:t>
      </w:r>
      <w:r w:rsidRPr="0082142E">
        <w:rPr>
          <w:b/>
          <w:bCs/>
        </w:rPr>
        <w:t>**</w:t>
      </w:r>
    </w:p>
    <w:p w14:paraId="2FF4AEA1" w14:textId="77777777" w:rsidR="00F431FC" w:rsidRDefault="00F431FC" w:rsidP="00A43EAB">
      <w:pPr>
        <w:jc w:val="left"/>
        <w:rPr>
          <w:i/>
          <w:iCs/>
        </w:rPr>
      </w:pPr>
    </w:p>
    <w:p w14:paraId="679926CF" w14:textId="647D24AB" w:rsidR="003C0851" w:rsidRDefault="00F431FC" w:rsidP="00A43EAB">
      <w:pPr>
        <w:jc w:val="left"/>
      </w:pPr>
      <w:r>
        <w:rPr>
          <w:i/>
          <w:iCs/>
        </w:rPr>
        <w:t>S</w:t>
      </w:r>
      <w:r w:rsidR="00B31ACA" w:rsidRPr="00410A9D">
        <w:rPr>
          <w:i/>
          <w:iCs/>
        </w:rPr>
        <w:t xml:space="preserve">ee </w:t>
      </w:r>
      <w:r w:rsidR="00BA7195" w:rsidRPr="00410A9D">
        <w:rPr>
          <w:i/>
          <w:iCs/>
        </w:rPr>
        <w:t>VFR GEN 1 for Australian VFR waypoint codes</w:t>
      </w:r>
      <w:r w:rsidR="00410A9D" w:rsidRPr="00410A9D">
        <w:rPr>
          <w:i/>
          <w:iCs/>
        </w:rPr>
        <w:t>,</w:t>
      </w:r>
      <w:r w:rsidR="00BA7195" w:rsidRPr="00410A9D">
        <w:rPr>
          <w:i/>
          <w:iCs/>
        </w:rPr>
        <w:t xml:space="preserve"> </w:t>
      </w:r>
      <w:r w:rsidR="00410A9D" w:rsidRPr="00410A9D">
        <w:rPr>
          <w:i/>
          <w:iCs/>
        </w:rPr>
        <w:t>names, and positions.</w:t>
      </w:r>
    </w:p>
    <w:p w14:paraId="3D3B4B94" w14:textId="77777777" w:rsidR="001016ED" w:rsidRDefault="001016ED" w:rsidP="00A43EAB">
      <w:pPr>
        <w:jc w:val="left"/>
      </w:pPr>
    </w:p>
    <w:p w14:paraId="77E5E4B6" w14:textId="77777777" w:rsidR="001016ED" w:rsidRDefault="001016ED" w:rsidP="00A43EAB">
      <w:pPr>
        <w:jc w:val="left"/>
      </w:pPr>
    </w:p>
    <w:p w14:paraId="322BDE67" w14:textId="33289271" w:rsidR="00B4413E" w:rsidRDefault="00B4413E" w:rsidP="00B4413E">
      <w:pPr>
        <w:pStyle w:val="Heading3"/>
        <w:spacing w:after="200"/>
      </w:pPr>
      <w:r>
        <w:lastRenderedPageBreak/>
        <w:t>SID Assignment</w:t>
      </w:r>
    </w:p>
    <w:p w14:paraId="57FFD34F" w14:textId="772529F1" w:rsidR="00B4413E" w:rsidRDefault="00B4413E" w:rsidP="00B4413E">
      <w:pPr>
        <w:jc w:val="left"/>
      </w:pPr>
      <w:r>
        <w:t xml:space="preserve">Where able, all </w:t>
      </w:r>
      <w:r w:rsidR="00A50D13">
        <w:t xml:space="preserve">IFR </w:t>
      </w:r>
      <w:r>
        <w:t xml:space="preserve">jets should be assigned the procedural SID which terminates at the </w:t>
      </w:r>
      <w:r w:rsidR="00345BF8">
        <w:t xml:space="preserve">appropriate waypoint </w:t>
      </w:r>
      <w:r w:rsidR="00AE461D">
        <w:t xml:space="preserve">according to their flight plan, </w:t>
      </w:r>
      <w:r w:rsidR="00FE2F57">
        <w:t xml:space="preserve">or </w:t>
      </w:r>
      <w:r w:rsidR="00193A9E">
        <w:t>rerouted via the most appropriate SID according to runway in use and direction of flight.</w:t>
      </w:r>
    </w:p>
    <w:p w14:paraId="3CC1713C" w14:textId="23F6E49D" w:rsidR="00E72EB9" w:rsidRDefault="00E72EB9" w:rsidP="00B4413E">
      <w:pPr>
        <w:jc w:val="left"/>
      </w:pPr>
      <w:r>
        <w:t xml:space="preserve">Note that Sydney SID’s often have multiple transitions, and it is </w:t>
      </w:r>
      <w:r w:rsidRPr="00A50D13">
        <w:rPr>
          <w:u w:val="single"/>
        </w:rPr>
        <w:t>imperative</w:t>
      </w:r>
      <w:r>
        <w:t xml:space="preserve"> that Delivery specifies which transition the aircraft needs to take </w:t>
      </w:r>
      <w:r w:rsidR="00A50D13">
        <w:t>to</w:t>
      </w:r>
      <w:r>
        <w:t xml:space="preserve"> complete the SID</w:t>
      </w:r>
      <w:r w:rsidR="00291622">
        <w:t xml:space="preserve"> if applicable</w:t>
      </w:r>
      <w:r>
        <w:t>.</w:t>
      </w:r>
      <w:r w:rsidR="00034448">
        <w:t xml:space="preserve"> This may be the radar transition.</w:t>
      </w:r>
      <w:r w:rsidR="00A05D71">
        <w:t xml:space="preserve"> </w:t>
      </w:r>
      <w:r w:rsidR="00F506C6">
        <w:t>See the table on the next page for SI</w:t>
      </w:r>
      <w:r w:rsidR="008612B0">
        <w:t>D assignments and transitions.</w:t>
      </w:r>
    </w:p>
    <w:p w14:paraId="26C340D7" w14:textId="768BD969" w:rsidR="00F506C6" w:rsidRPr="00F506C6" w:rsidRDefault="00F506C6" w:rsidP="00B4413E">
      <w:pPr>
        <w:jc w:val="left"/>
        <w:rPr>
          <w:i/>
          <w:iCs/>
        </w:rPr>
      </w:pPr>
      <w:r w:rsidRPr="00F506C6">
        <w:rPr>
          <w:i/>
          <w:iCs/>
        </w:rPr>
        <w:t>Examples:</w:t>
      </w:r>
    </w:p>
    <w:p w14:paraId="714B45C5" w14:textId="0184D998" w:rsidR="00034448" w:rsidRDefault="00192FDE" w:rsidP="00034448">
      <w:pPr>
        <w:ind w:left="720"/>
        <w:jc w:val="left"/>
        <w:rPr>
          <w:i/>
          <w:iCs/>
        </w:rPr>
      </w:pPr>
      <w:r w:rsidRPr="00390A6C">
        <w:rPr>
          <w:i/>
          <w:iCs/>
        </w:rPr>
        <w:t>‘</w:t>
      </w:r>
      <w:r w:rsidR="002012F7">
        <w:rPr>
          <w:i/>
          <w:iCs/>
        </w:rPr>
        <w:t>JST</w:t>
      </w:r>
      <w:r w:rsidRPr="00390A6C">
        <w:rPr>
          <w:i/>
          <w:iCs/>
        </w:rPr>
        <w:t xml:space="preserve">123 Sydney Delivery g’day. Cleared to Melbourne via WOL planned route, runway 34R, </w:t>
      </w:r>
      <w:r w:rsidR="009119B6" w:rsidRPr="00390A6C">
        <w:rPr>
          <w:i/>
          <w:iCs/>
        </w:rPr>
        <w:t xml:space="preserve">MARUB7 departure, WOL transition. Climb via the SID to 5000. Squawk 1234. Departures on </w:t>
      </w:r>
      <w:r w:rsidR="001E740B" w:rsidRPr="00390A6C">
        <w:rPr>
          <w:i/>
          <w:iCs/>
        </w:rPr>
        <w:t>123.0.’</w:t>
      </w:r>
    </w:p>
    <w:p w14:paraId="43CD7567" w14:textId="0A5C0659" w:rsidR="00155D36" w:rsidRDefault="00F506C6" w:rsidP="00034448">
      <w:pPr>
        <w:ind w:left="720"/>
        <w:jc w:val="left"/>
        <w:rPr>
          <w:i/>
          <w:iCs/>
        </w:rPr>
      </w:pPr>
      <w:r>
        <w:rPr>
          <w:i/>
          <w:iCs/>
        </w:rPr>
        <w:t>‘</w:t>
      </w:r>
      <w:r w:rsidR="00107D85">
        <w:rPr>
          <w:i/>
          <w:iCs/>
        </w:rPr>
        <w:t>QFA456 Sydney Delivery g’day. Cleared to Singapore via RIC planned route, runway 34L, RIC6 departure, RIC transition</w:t>
      </w:r>
      <w:r w:rsidR="00C04C3A">
        <w:rPr>
          <w:i/>
          <w:iCs/>
        </w:rPr>
        <w:t>*</w:t>
      </w:r>
      <w:r w:rsidR="00107D85">
        <w:rPr>
          <w:i/>
          <w:iCs/>
        </w:rPr>
        <w:t>. Climb via the SID to 5000. Squawk 5677</w:t>
      </w:r>
      <w:r>
        <w:rPr>
          <w:i/>
          <w:iCs/>
        </w:rPr>
        <w:t>. Departures on 123.0’</w:t>
      </w:r>
    </w:p>
    <w:p w14:paraId="6BAA916B" w14:textId="4F671211" w:rsidR="008612B0" w:rsidRDefault="008612B0" w:rsidP="00096FEA">
      <w:pPr>
        <w:ind w:left="720"/>
        <w:jc w:val="left"/>
        <w:rPr>
          <w:i/>
          <w:iCs/>
        </w:rPr>
      </w:pPr>
      <w:r>
        <w:rPr>
          <w:i/>
          <w:iCs/>
        </w:rPr>
        <w:t>‘</w:t>
      </w:r>
      <w:r w:rsidR="002012F7">
        <w:rPr>
          <w:i/>
          <w:iCs/>
        </w:rPr>
        <w:t>VOZ</w:t>
      </w:r>
      <w:r>
        <w:rPr>
          <w:i/>
          <w:iCs/>
        </w:rPr>
        <w:t xml:space="preserve">789 Sydney Delivery g’day. Cleared to </w:t>
      </w:r>
      <w:r w:rsidR="002012F7">
        <w:rPr>
          <w:i/>
          <w:iCs/>
        </w:rPr>
        <w:t>Perth</w:t>
      </w:r>
      <w:r>
        <w:rPr>
          <w:i/>
          <w:iCs/>
        </w:rPr>
        <w:t xml:space="preserve"> via </w:t>
      </w:r>
      <w:r w:rsidR="002012F7">
        <w:rPr>
          <w:i/>
          <w:iCs/>
        </w:rPr>
        <w:t>KADOM</w:t>
      </w:r>
      <w:r>
        <w:rPr>
          <w:i/>
          <w:iCs/>
        </w:rPr>
        <w:t xml:space="preserve"> planned route, runway 34L, </w:t>
      </w:r>
      <w:r w:rsidR="002012F7">
        <w:rPr>
          <w:i/>
          <w:iCs/>
        </w:rPr>
        <w:t>KADOM</w:t>
      </w:r>
      <w:r w:rsidR="00096FEA">
        <w:rPr>
          <w:i/>
          <w:iCs/>
        </w:rPr>
        <w:t>1</w:t>
      </w:r>
      <w:r>
        <w:rPr>
          <w:i/>
          <w:iCs/>
        </w:rPr>
        <w:t xml:space="preserve"> departure</w:t>
      </w:r>
      <w:r w:rsidR="00FC469B">
        <w:rPr>
          <w:i/>
          <w:iCs/>
        </w:rPr>
        <w:t>**</w:t>
      </w:r>
      <w:r>
        <w:rPr>
          <w:i/>
          <w:iCs/>
        </w:rPr>
        <w:t xml:space="preserve">. Climb via the SID to 5000. Squawk </w:t>
      </w:r>
      <w:r w:rsidR="00096FEA">
        <w:rPr>
          <w:i/>
          <w:iCs/>
        </w:rPr>
        <w:t>4321</w:t>
      </w:r>
      <w:r>
        <w:rPr>
          <w:i/>
          <w:iCs/>
        </w:rPr>
        <w:t>. Departures on 123.0’</w:t>
      </w:r>
    </w:p>
    <w:p w14:paraId="5C2BDBA9" w14:textId="5E510449" w:rsidR="00C04C3A" w:rsidRPr="00FC469B" w:rsidRDefault="00096FEA" w:rsidP="00096FEA">
      <w:pPr>
        <w:jc w:val="left"/>
        <w:rPr>
          <w:i/>
          <w:iCs/>
          <w:sz w:val="20"/>
          <w:szCs w:val="20"/>
        </w:rPr>
      </w:pPr>
      <w:r w:rsidRPr="00FC469B">
        <w:rPr>
          <w:i/>
          <w:iCs/>
          <w:sz w:val="20"/>
          <w:szCs w:val="20"/>
        </w:rPr>
        <w:t>*</w:t>
      </w:r>
      <w:r w:rsidR="00C04C3A" w:rsidRPr="00FC469B">
        <w:rPr>
          <w:i/>
          <w:iCs/>
          <w:sz w:val="20"/>
          <w:szCs w:val="20"/>
        </w:rPr>
        <w:t>even though QFA456 is on the RIC SID, the SID has both a RIC &amp; radar transition, therefore we must include the transition</w:t>
      </w:r>
      <w:r w:rsidR="002D5134">
        <w:rPr>
          <w:i/>
          <w:iCs/>
          <w:sz w:val="20"/>
          <w:szCs w:val="20"/>
        </w:rPr>
        <w:t xml:space="preserve"> in the clearance</w:t>
      </w:r>
      <w:r w:rsidR="00C04C3A" w:rsidRPr="00FC469B">
        <w:rPr>
          <w:i/>
          <w:iCs/>
          <w:sz w:val="20"/>
          <w:szCs w:val="20"/>
        </w:rPr>
        <w:t>.</w:t>
      </w:r>
    </w:p>
    <w:p w14:paraId="7A82D33B" w14:textId="79CADE33" w:rsidR="00096FEA" w:rsidRPr="00FC469B" w:rsidRDefault="00FC469B" w:rsidP="00096FEA">
      <w:pPr>
        <w:jc w:val="lef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*</w:t>
      </w:r>
      <w:r w:rsidR="00C04C3A" w:rsidRPr="00FC469B">
        <w:rPr>
          <w:i/>
          <w:iCs/>
          <w:sz w:val="20"/>
          <w:szCs w:val="20"/>
        </w:rPr>
        <w:t>*KADOM1 has only one transition, therefore we do not need to specify</w:t>
      </w:r>
      <w:r w:rsidR="00D33F51">
        <w:rPr>
          <w:i/>
          <w:iCs/>
          <w:sz w:val="20"/>
          <w:szCs w:val="20"/>
        </w:rPr>
        <w:t xml:space="preserve"> the transition</w:t>
      </w:r>
      <w:r w:rsidR="00C04C3A" w:rsidRPr="00FC469B">
        <w:rPr>
          <w:i/>
          <w:iCs/>
          <w:sz w:val="20"/>
          <w:szCs w:val="20"/>
        </w:rPr>
        <w:t>.</w:t>
      </w:r>
      <w:r w:rsidR="00096FEA" w:rsidRPr="00FC469B">
        <w:rPr>
          <w:i/>
          <w:iCs/>
          <w:sz w:val="20"/>
          <w:szCs w:val="20"/>
        </w:rPr>
        <w:t xml:space="preserve"> </w:t>
      </w:r>
    </w:p>
    <w:p w14:paraId="7203149E" w14:textId="120D112F" w:rsidR="00193A9E" w:rsidRDefault="00E578E4" w:rsidP="00B4413E">
      <w:pPr>
        <w:jc w:val="left"/>
      </w:pPr>
      <w:r>
        <w:t>IFR j</w:t>
      </w:r>
      <w:r w:rsidR="00193A9E">
        <w:t xml:space="preserve">et aircraft unable to </w:t>
      </w:r>
      <w:r w:rsidR="00F04F72">
        <w:t>fly the procedural SID, and all</w:t>
      </w:r>
      <w:r>
        <w:t xml:space="preserve"> IFR</w:t>
      </w:r>
      <w:r w:rsidR="00F04F72">
        <w:t xml:space="preserve"> prop aircraft shall be assigned the SY radar departure.</w:t>
      </w:r>
    </w:p>
    <w:p w14:paraId="6F9AB5ED" w14:textId="002472FB" w:rsidR="00F506C6" w:rsidRPr="00F506C6" w:rsidRDefault="00F506C6" w:rsidP="00B4413E">
      <w:pPr>
        <w:jc w:val="left"/>
        <w:rPr>
          <w:i/>
          <w:iCs/>
        </w:rPr>
      </w:pPr>
      <w:r w:rsidRPr="00F506C6">
        <w:rPr>
          <w:i/>
          <w:iCs/>
        </w:rPr>
        <w:t>Examples:</w:t>
      </w:r>
    </w:p>
    <w:p w14:paraId="22445766" w14:textId="150928BA" w:rsidR="00390A6C" w:rsidRDefault="00390A6C" w:rsidP="003D1793">
      <w:pPr>
        <w:ind w:left="720"/>
        <w:jc w:val="left"/>
        <w:rPr>
          <w:i/>
          <w:iCs/>
        </w:rPr>
      </w:pPr>
      <w:r w:rsidRPr="003D1793">
        <w:rPr>
          <w:i/>
          <w:iCs/>
        </w:rPr>
        <w:t xml:space="preserve">‘QLK987 Sydney Delivery g’day, cleared to Melbourne </w:t>
      </w:r>
      <w:r w:rsidR="00B94AAD" w:rsidRPr="003D1793">
        <w:rPr>
          <w:i/>
          <w:iCs/>
        </w:rPr>
        <w:t xml:space="preserve">via WOL planned route, runway 34R, SY3 departure. Climb via the SID to </w:t>
      </w:r>
      <w:r w:rsidR="00BF5E59">
        <w:rPr>
          <w:i/>
          <w:iCs/>
        </w:rPr>
        <w:t>3</w:t>
      </w:r>
      <w:r w:rsidR="00B94AAD" w:rsidRPr="003D1793">
        <w:rPr>
          <w:i/>
          <w:iCs/>
        </w:rPr>
        <w:t>000. Squawk 7654</w:t>
      </w:r>
      <w:r w:rsidR="003D1793" w:rsidRPr="003D1793">
        <w:rPr>
          <w:i/>
          <w:iCs/>
        </w:rPr>
        <w:t>. Departures on 123.0.’</w:t>
      </w:r>
    </w:p>
    <w:p w14:paraId="21826E64" w14:textId="17B97821" w:rsidR="00F260E8" w:rsidRDefault="00F260E8" w:rsidP="00F260E8">
      <w:pPr>
        <w:ind w:firstLine="720"/>
        <w:jc w:val="left"/>
      </w:pPr>
    </w:p>
    <w:p w14:paraId="6C3BD740" w14:textId="77777777" w:rsidR="00EE2A16" w:rsidRDefault="00EE2A16" w:rsidP="00F506C6">
      <w:pPr>
        <w:jc w:val="left"/>
      </w:pPr>
    </w:p>
    <w:tbl>
      <w:tblPr>
        <w:tblW w:w="6820" w:type="dxa"/>
        <w:jc w:val="center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Look w:val="0420" w:firstRow="1" w:lastRow="0" w:firstColumn="0" w:lastColumn="0" w:noHBand="0" w:noVBand="1"/>
      </w:tblPr>
      <w:tblGrid>
        <w:gridCol w:w="1520"/>
        <w:gridCol w:w="1800"/>
        <w:gridCol w:w="1630"/>
        <w:gridCol w:w="1870"/>
      </w:tblGrid>
      <w:tr w:rsidR="001016ED" w14:paraId="75C165A4" w14:textId="51995666" w:rsidTr="001016ED">
        <w:trPr>
          <w:trHeight w:val="397"/>
          <w:jc w:val="center"/>
        </w:trPr>
        <w:tc>
          <w:tcPr>
            <w:tcW w:w="1520" w:type="dxa"/>
            <w:tcBorders>
              <w:right w:val="single" w:sz="4" w:space="0" w:color="0D2C99"/>
            </w:tcBorders>
            <w:shd w:val="clear" w:color="auto" w:fill="0D2C99"/>
            <w:vAlign w:val="center"/>
          </w:tcPr>
          <w:p w14:paraId="7862E4E5" w14:textId="65DF598F" w:rsidR="001016ED" w:rsidRDefault="001016ED" w:rsidP="004C687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Runway</w:t>
            </w:r>
          </w:p>
        </w:tc>
        <w:tc>
          <w:tcPr>
            <w:tcW w:w="1800" w:type="dxa"/>
            <w:tcBorders>
              <w:left w:val="single" w:sz="4" w:space="0" w:color="0D2C99"/>
              <w:right w:val="single" w:sz="4" w:space="0" w:color="0D2C99"/>
            </w:tcBorders>
            <w:shd w:val="clear" w:color="auto" w:fill="0D2C99"/>
            <w:vAlign w:val="center"/>
          </w:tcPr>
          <w:p w14:paraId="04F430A3" w14:textId="6ACF4279" w:rsidR="001016ED" w:rsidRDefault="001016ED" w:rsidP="004C687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Via</w:t>
            </w:r>
          </w:p>
        </w:tc>
        <w:tc>
          <w:tcPr>
            <w:tcW w:w="1630" w:type="dxa"/>
            <w:tcBorders>
              <w:left w:val="single" w:sz="4" w:space="0" w:color="0D2C99"/>
              <w:right w:val="single" w:sz="4" w:space="0" w:color="0D2C99"/>
            </w:tcBorders>
            <w:shd w:val="clear" w:color="auto" w:fill="0D2C99"/>
          </w:tcPr>
          <w:p w14:paraId="0023AD95" w14:textId="07CE7581" w:rsidR="001016ED" w:rsidRDefault="001016ED" w:rsidP="004C687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</w:t>
            </w:r>
          </w:p>
        </w:tc>
        <w:tc>
          <w:tcPr>
            <w:tcW w:w="1870" w:type="dxa"/>
            <w:tcBorders>
              <w:left w:val="single" w:sz="4" w:space="0" w:color="0D2C99"/>
              <w:right w:val="single" w:sz="4" w:space="0" w:color="0D2C99"/>
            </w:tcBorders>
            <w:shd w:val="clear" w:color="auto" w:fill="0D2C99"/>
          </w:tcPr>
          <w:p w14:paraId="02946458" w14:textId="3DF7F7D3" w:rsidR="001016ED" w:rsidRDefault="001016ED" w:rsidP="004C687F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Transition</w:t>
            </w:r>
          </w:p>
        </w:tc>
      </w:tr>
      <w:tr w:rsidR="001016ED" w14:paraId="445B0313" w14:textId="7F3B8866" w:rsidTr="001016ED">
        <w:trPr>
          <w:jc w:val="center"/>
        </w:trPr>
        <w:tc>
          <w:tcPr>
            <w:tcW w:w="152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76546E2" w14:textId="65C7612A" w:rsidR="001016ED" w:rsidRPr="00C558E0" w:rsidRDefault="001016ED" w:rsidP="004C687F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07</w:t>
            </w:r>
          </w:p>
        </w:tc>
        <w:tc>
          <w:tcPr>
            <w:tcW w:w="1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35CFAC9" w14:textId="6FDC3BEE" w:rsidR="001016ED" w:rsidRPr="00C77A20" w:rsidRDefault="001016ED" w:rsidP="004C687F">
            <w:pPr>
              <w:spacing w:before="120" w:after="120"/>
              <w:jc w:val="center"/>
              <w:rPr>
                <w:i/>
                <w:iCs/>
                <w:sz w:val="20"/>
                <w:szCs w:val="20"/>
              </w:rPr>
            </w:pPr>
            <w:r w:rsidRPr="00C77A20">
              <w:rPr>
                <w:i/>
                <w:iCs/>
                <w:sz w:val="20"/>
                <w:szCs w:val="20"/>
              </w:rPr>
              <w:t>all</w:t>
            </w:r>
          </w:p>
        </w:tc>
        <w:tc>
          <w:tcPr>
            <w:tcW w:w="1630" w:type="dxa"/>
          </w:tcPr>
          <w:p w14:paraId="13D9B8D3" w14:textId="46F61543" w:rsidR="001016ED" w:rsidRPr="00C558E0" w:rsidRDefault="001016ED" w:rsidP="004C687F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SY (radar)</w:t>
            </w:r>
          </w:p>
        </w:tc>
        <w:tc>
          <w:tcPr>
            <w:tcW w:w="1870" w:type="dxa"/>
          </w:tcPr>
          <w:p w14:paraId="29ECB801" w14:textId="6AF5908F" w:rsidR="001016ED" w:rsidRPr="00291622" w:rsidRDefault="001016ED" w:rsidP="004C687F">
            <w:pPr>
              <w:spacing w:before="120"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1622">
              <w:rPr>
                <w:i/>
                <w:iCs/>
                <w:color w:val="FF0000"/>
                <w:sz w:val="20"/>
                <w:szCs w:val="20"/>
              </w:rPr>
              <w:t>N/A</w:t>
            </w:r>
          </w:p>
        </w:tc>
      </w:tr>
      <w:tr w:rsidR="001016ED" w14:paraId="3D3F4D5F" w14:textId="5AC8DE07" w:rsidTr="001016ED">
        <w:trPr>
          <w:jc w:val="center"/>
        </w:trPr>
        <w:tc>
          <w:tcPr>
            <w:tcW w:w="152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2ECDB87" w14:textId="156C6633" w:rsidR="001016ED" w:rsidRPr="00C558E0" w:rsidRDefault="001016ED" w:rsidP="001016ED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3AEA00F" w14:textId="3C53BB90" w:rsidR="001016ED" w:rsidRPr="00C77A20" w:rsidRDefault="001016ED" w:rsidP="001016ED">
            <w:pPr>
              <w:spacing w:before="120" w:after="120"/>
              <w:jc w:val="center"/>
              <w:rPr>
                <w:i/>
                <w:iCs/>
                <w:sz w:val="20"/>
                <w:szCs w:val="20"/>
              </w:rPr>
            </w:pPr>
            <w:r w:rsidRPr="00C77A20">
              <w:rPr>
                <w:i/>
                <w:iCs/>
                <w:sz w:val="20"/>
                <w:szCs w:val="20"/>
              </w:rPr>
              <w:t>all</w:t>
            </w:r>
          </w:p>
        </w:tc>
        <w:tc>
          <w:tcPr>
            <w:tcW w:w="1630" w:type="dxa"/>
          </w:tcPr>
          <w:p w14:paraId="0E8706D6" w14:textId="56EAFCAF" w:rsidR="001016ED" w:rsidRPr="00C558E0" w:rsidRDefault="001016ED" w:rsidP="001016ED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SY (radar)</w:t>
            </w:r>
          </w:p>
        </w:tc>
        <w:tc>
          <w:tcPr>
            <w:tcW w:w="1870" w:type="dxa"/>
          </w:tcPr>
          <w:p w14:paraId="66FA9AFE" w14:textId="3034AB64" w:rsidR="001016ED" w:rsidRPr="00291622" w:rsidRDefault="001016ED" w:rsidP="001016ED">
            <w:pPr>
              <w:spacing w:before="120"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1622">
              <w:rPr>
                <w:i/>
                <w:iCs/>
                <w:color w:val="FF0000"/>
                <w:sz w:val="20"/>
                <w:szCs w:val="20"/>
              </w:rPr>
              <w:t>N/A</w:t>
            </w:r>
          </w:p>
        </w:tc>
      </w:tr>
      <w:tr w:rsidR="001016ED" w14:paraId="762FC5C6" w14:textId="66A5A10D" w:rsidTr="001016ED">
        <w:trPr>
          <w:jc w:val="center"/>
        </w:trPr>
        <w:tc>
          <w:tcPr>
            <w:tcW w:w="152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C0D6D3E" w14:textId="3BA8E3F3" w:rsidR="001016ED" w:rsidRPr="00C558E0" w:rsidRDefault="00C81C78" w:rsidP="001016ED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16L</w:t>
            </w:r>
          </w:p>
        </w:tc>
        <w:tc>
          <w:tcPr>
            <w:tcW w:w="1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A2492F4" w14:textId="69BAA37D" w:rsidR="001016ED" w:rsidRPr="00C558E0" w:rsidRDefault="00C81C78" w:rsidP="001016ED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OLSEM</w:t>
            </w:r>
          </w:p>
        </w:tc>
        <w:tc>
          <w:tcPr>
            <w:tcW w:w="1630" w:type="dxa"/>
          </w:tcPr>
          <w:p w14:paraId="79F63AB2" w14:textId="2A916EF7" w:rsidR="001016ED" w:rsidRPr="00C558E0" w:rsidRDefault="00C81C78" w:rsidP="001016ED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KEVIN</w:t>
            </w:r>
          </w:p>
        </w:tc>
        <w:tc>
          <w:tcPr>
            <w:tcW w:w="1870" w:type="dxa"/>
          </w:tcPr>
          <w:p w14:paraId="7B2065A8" w14:textId="219AF6C4" w:rsidR="001016ED" w:rsidRPr="00C558E0" w:rsidRDefault="00C81C78" w:rsidP="001016ED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OLSEM</w:t>
            </w:r>
          </w:p>
        </w:tc>
      </w:tr>
      <w:tr w:rsidR="001016ED" w14:paraId="1247F900" w14:textId="2DC38752" w:rsidTr="001016ED">
        <w:trPr>
          <w:jc w:val="center"/>
        </w:trPr>
        <w:tc>
          <w:tcPr>
            <w:tcW w:w="152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1C343BA" w14:textId="01B793EB" w:rsidR="001016ED" w:rsidRPr="00C558E0" w:rsidRDefault="00C81C78" w:rsidP="001016ED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16L</w:t>
            </w:r>
          </w:p>
        </w:tc>
        <w:tc>
          <w:tcPr>
            <w:tcW w:w="1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B0A07B7" w14:textId="36F826F6" w:rsidR="001016ED" w:rsidRPr="00C558E0" w:rsidRDefault="00F3751A" w:rsidP="001016ED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NOBAR</w:t>
            </w:r>
          </w:p>
        </w:tc>
        <w:tc>
          <w:tcPr>
            <w:tcW w:w="1630" w:type="dxa"/>
          </w:tcPr>
          <w:p w14:paraId="19A3F896" w14:textId="3665EBDA" w:rsidR="001016ED" w:rsidRPr="00C558E0" w:rsidRDefault="00754596" w:rsidP="001016ED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KEVIN</w:t>
            </w:r>
          </w:p>
        </w:tc>
        <w:tc>
          <w:tcPr>
            <w:tcW w:w="1870" w:type="dxa"/>
          </w:tcPr>
          <w:p w14:paraId="412B3286" w14:textId="49498A53" w:rsidR="001016ED" w:rsidRPr="00C558E0" w:rsidRDefault="00754596" w:rsidP="001016ED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NOBAR</w:t>
            </w:r>
          </w:p>
        </w:tc>
      </w:tr>
      <w:tr w:rsidR="001016ED" w14:paraId="3E181E57" w14:textId="7EA63749" w:rsidTr="001016ED">
        <w:trPr>
          <w:jc w:val="center"/>
        </w:trPr>
        <w:tc>
          <w:tcPr>
            <w:tcW w:w="152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CE71666" w14:textId="271A3693" w:rsidR="001016ED" w:rsidRPr="00C558E0" w:rsidRDefault="00C81C78" w:rsidP="001016ED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16L</w:t>
            </w:r>
          </w:p>
        </w:tc>
        <w:tc>
          <w:tcPr>
            <w:tcW w:w="1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85348AE" w14:textId="1EBFBB4B" w:rsidR="001016ED" w:rsidRPr="00C558E0" w:rsidRDefault="00F3751A" w:rsidP="001016ED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DIPSO</w:t>
            </w:r>
          </w:p>
        </w:tc>
        <w:tc>
          <w:tcPr>
            <w:tcW w:w="1630" w:type="dxa"/>
          </w:tcPr>
          <w:p w14:paraId="44D45972" w14:textId="7F15DF29" w:rsidR="001016ED" w:rsidRPr="00C558E0" w:rsidRDefault="00754596" w:rsidP="001016ED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KEVIN</w:t>
            </w:r>
          </w:p>
        </w:tc>
        <w:tc>
          <w:tcPr>
            <w:tcW w:w="1870" w:type="dxa"/>
          </w:tcPr>
          <w:p w14:paraId="49A3E654" w14:textId="47F06AAC" w:rsidR="001016ED" w:rsidRPr="00C558E0" w:rsidRDefault="00754596" w:rsidP="001016ED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DIPSO</w:t>
            </w:r>
          </w:p>
        </w:tc>
      </w:tr>
      <w:tr w:rsidR="00754596" w14:paraId="367B6684" w14:textId="4CD43981" w:rsidTr="00212C02">
        <w:trPr>
          <w:jc w:val="center"/>
        </w:trPr>
        <w:tc>
          <w:tcPr>
            <w:tcW w:w="152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BC5A5FF" w14:textId="7ABA0948" w:rsidR="00754596" w:rsidRPr="00C558E0" w:rsidRDefault="00754596" w:rsidP="00754596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16L</w:t>
            </w:r>
          </w:p>
        </w:tc>
        <w:tc>
          <w:tcPr>
            <w:tcW w:w="1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87E0B12" w14:textId="7D1539E1" w:rsidR="00754596" w:rsidRPr="00C558E0" w:rsidRDefault="00754596" w:rsidP="00754596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EVONN</w:t>
            </w:r>
          </w:p>
        </w:tc>
        <w:tc>
          <w:tcPr>
            <w:tcW w:w="1630" w:type="dxa"/>
          </w:tcPr>
          <w:p w14:paraId="546172C0" w14:textId="051F275A" w:rsidR="00754596" w:rsidRPr="00C558E0" w:rsidRDefault="00754596" w:rsidP="00754596">
            <w:pPr>
              <w:spacing w:before="120" w:after="12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KEVIN</w:t>
            </w:r>
          </w:p>
        </w:tc>
        <w:tc>
          <w:tcPr>
            <w:tcW w:w="1870" w:type="dxa"/>
            <w:vAlign w:val="center"/>
          </w:tcPr>
          <w:p w14:paraId="04AEED5F" w14:textId="042E6F69" w:rsidR="00754596" w:rsidRPr="00C558E0" w:rsidRDefault="00754596" w:rsidP="00754596">
            <w:pPr>
              <w:spacing w:before="120" w:after="12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EVONN</w:t>
            </w:r>
          </w:p>
        </w:tc>
      </w:tr>
      <w:tr w:rsidR="00754596" w14:paraId="345AB7D1" w14:textId="564CB846" w:rsidTr="00212C02">
        <w:trPr>
          <w:jc w:val="center"/>
        </w:trPr>
        <w:tc>
          <w:tcPr>
            <w:tcW w:w="152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A176B26" w14:textId="62CDB812" w:rsidR="00754596" w:rsidRPr="00C558E0" w:rsidRDefault="00754596" w:rsidP="00754596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16L</w:t>
            </w:r>
          </w:p>
        </w:tc>
        <w:tc>
          <w:tcPr>
            <w:tcW w:w="1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F769C65" w14:textId="0DF400F7" w:rsidR="00754596" w:rsidRPr="00C558E0" w:rsidRDefault="00754596" w:rsidP="00754596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CAWLY</w:t>
            </w:r>
          </w:p>
        </w:tc>
        <w:tc>
          <w:tcPr>
            <w:tcW w:w="1630" w:type="dxa"/>
          </w:tcPr>
          <w:p w14:paraId="1FDAD832" w14:textId="17355A20" w:rsidR="00754596" w:rsidRPr="00C558E0" w:rsidRDefault="00754596" w:rsidP="00754596">
            <w:pPr>
              <w:spacing w:before="120" w:after="12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KEVIN</w:t>
            </w:r>
          </w:p>
        </w:tc>
        <w:tc>
          <w:tcPr>
            <w:tcW w:w="1870" w:type="dxa"/>
            <w:vAlign w:val="center"/>
          </w:tcPr>
          <w:p w14:paraId="58462740" w14:textId="0474BB0E" w:rsidR="00754596" w:rsidRPr="00C558E0" w:rsidRDefault="00754596" w:rsidP="00754596">
            <w:pPr>
              <w:spacing w:before="120" w:after="12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CAWLY</w:t>
            </w:r>
          </w:p>
        </w:tc>
      </w:tr>
      <w:tr w:rsidR="00754596" w14:paraId="243B35FD" w14:textId="35738A41" w:rsidTr="00212C02">
        <w:trPr>
          <w:jc w:val="center"/>
        </w:trPr>
        <w:tc>
          <w:tcPr>
            <w:tcW w:w="152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27AED57" w14:textId="1566791A" w:rsidR="00754596" w:rsidRPr="00C558E0" w:rsidRDefault="003030F3" w:rsidP="00754596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16L</w:t>
            </w:r>
          </w:p>
        </w:tc>
        <w:tc>
          <w:tcPr>
            <w:tcW w:w="1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0F00D4D" w14:textId="21551901" w:rsidR="00754596" w:rsidRPr="00C558E0" w:rsidRDefault="003030F3" w:rsidP="00754596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WOL</w:t>
            </w:r>
            <w:r w:rsidR="002B5E11"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630" w:type="dxa"/>
          </w:tcPr>
          <w:p w14:paraId="6724BC19" w14:textId="07BF6BAF" w:rsidR="00754596" w:rsidRPr="00C558E0" w:rsidRDefault="003030F3" w:rsidP="00754596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ABBEY</w:t>
            </w:r>
          </w:p>
        </w:tc>
        <w:tc>
          <w:tcPr>
            <w:tcW w:w="1870" w:type="dxa"/>
            <w:vAlign w:val="center"/>
          </w:tcPr>
          <w:p w14:paraId="2C8BA4A0" w14:textId="2BE8541C" w:rsidR="00754596" w:rsidRPr="00C558E0" w:rsidRDefault="003030F3" w:rsidP="00754596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WOL</w:t>
            </w:r>
          </w:p>
        </w:tc>
      </w:tr>
      <w:tr w:rsidR="003030F3" w14:paraId="3FF97CAB" w14:textId="77777777" w:rsidTr="00212C02">
        <w:trPr>
          <w:jc w:val="center"/>
        </w:trPr>
        <w:tc>
          <w:tcPr>
            <w:tcW w:w="152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81551BD" w14:textId="2FC2397A" w:rsidR="003030F3" w:rsidRPr="00C558E0" w:rsidRDefault="0076499D" w:rsidP="00754596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16L</w:t>
            </w:r>
          </w:p>
        </w:tc>
        <w:tc>
          <w:tcPr>
            <w:tcW w:w="1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4ED8858" w14:textId="0AA0CC3B" w:rsidR="003030F3" w:rsidRPr="00F80310" w:rsidRDefault="00EE2A16" w:rsidP="00754596">
            <w:pPr>
              <w:spacing w:before="120" w:after="120"/>
              <w:jc w:val="center"/>
              <w:rPr>
                <w:i/>
                <w:iCs/>
                <w:sz w:val="20"/>
                <w:szCs w:val="20"/>
              </w:rPr>
            </w:pPr>
            <w:r w:rsidRPr="00F80310">
              <w:rPr>
                <w:i/>
                <w:iCs/>
                <w:sz w:val="20"/>
                <w:szCs w:val="20"/>
              </w:rPr>
              <w:t>all others</w:t>
            </w:r>
          </w:p>
        </w:tc>
        <w:tc>
          <w:tcPr>
            <w:tcW w:w="1630" w:type="dxa"/>
          </w:tcPr>
          <w:p w14:paraId="479452CA" w14:textId="72EA3628" w:rsidR="003030F3" w:rsidRPr="00C558E0" w:rsidRDefault="00EE2A16" w:rsidP="00754596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KEVIN</w:t>
            </w:r>
          </w:p>
        </w:tc>
        <w:tc>
          <w:tcPr>
            <w:tcW w:w="1870" w:type="dxa"/>
            <w:vAlign w:val="center"/>
          </w:tcPr>
          <w:p w14:paraId="2038D96A" w14:textId="5DBB8BD5" w:rsidR="003030F3" w:rsidRPr="00034448" w:rsidRDefault="00034448" w:rsidP="00754596">
            <w:pPr>
              <w:spacing w:before="120" w:after="120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radar</w:t>
            </w:r>
          </w:p>
        </w:tc>
      </w:tr>
      <w:tr w:rsidR="00EE2A16" w14:paraId="1E2EFA27" w14:textId="77777777" w:rsidTr="00212C02">
        <w:trPr>
          <w:jc w:val="center"/>
        </w:trPr>
        <w:tc>
          <w:tcPr>
            <w:tcW w:w="152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65A04B4" w14:textId="596F30E6" w:rsidR="00EE2A16" w:rsidRPr="00C558E0" w:rsidRDefault="00EE2A16" w:rsidP="00754596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16R</w:t>
            </w:r>
          </w:p>
        </w:tc>
        <w:tc>
          <w:tcPr>
            <w:tcW w:w="1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6733C4B" w14:textId="79C4354A" w:rsidR="00EE2A16" w:rsidRPr="00C558E0" w:rsidRDefault="001E3C31" w:rsidP="00754596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RIC</w:t>
            </w:r>
          </w:p>
        </w:tc>
        <w:tc>
          <w:tcPr>
            <w:tcW w:w="1630" w:type="dxa"/>
          </w:tcPr>
          <w:p w14:paraId="0DDCC6FE" w14:textId="1CCD3989" w:rsidR="00EE2A16" w:rsidRPr="00C558E0" w:rsidRDefault="001E3C31" w:rsidP="00754596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KAMPI</w:t>
            </w:r>
          </w:p>
        </w:tc>
        <w:tc>
          <w:tcPr>
            <w:tcW w:w="1870" w:type="dxa"/>
            <w:vAlign w:val="center"/>
          </w:tcPr>
          <w:p w14:paraId="69CAA529" w14:textId="1187ECCE" w:rsidR="00EE2A16" w:rsidRPr="00C558E0" w:rsidRDefault="001E3C31" w:rsidP="00754596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RIC</w:t>
            </w:r>
          </w:p>
        </w:tc>
      </w:tr>
      <w:tr w:rsidR="00EE2A16" w14:paraId="442C4A0C" w14:textId="77777777" w:rsidTr="00212C02">
        <w:trPr>
          <w:jc w:val="center"/>
        </w:trPr>
        <w:tc>
          <w:tcPr>
            <w:tcW w:w="152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B3F5EFF" w14:textId="7AF4D7E5" w:rsidR="00EE2A16" w:rsidRPr="00C558E0" w:rsidRDefault="00EE2A16" w:rsidP="00754596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16R</w:t>
            </w:r>
          </w:p>
        </w:tc>
        <w:tc>
          <w:tcPr>
            <w:tcW w:w="1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92C124A" w14:textId="6BACA64F" w:rsidR="00EE2A16" w:rsidRPr="00C558E0" w:rsidRDefault="001E3C31" w:rsidP="00754596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KADOM</w:t>
            </w:r>
          </w:p>
        </w:tc>
        <w:tc>
          <w:tcPr>
            <w:tcW w:w="1630" w:type="dxa"/>
          </w:tcPr>
          <w:p w14:paraId="4AC65675" w14:textId="569B9AC5" w:rsidR="00EE2A16" w:rsidRPr="00C558E0" w:rsidRDefault="001E3C31" w:rsidP="00754596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KAMPI</w:t>
            </w:r>
          </w:p>
        </w:tc>
        <w:tc>
          <w:tcPr>
            <w:tcW w:w="1870" w:type="dxa"/>
            <w:vAlign w:val="center"/>
          </w:tcPr>
          <w:p w14:paraId="35EF9B79" w14:textId="5E7F6E41" w:rsidR="00EE2A16" w:rsidRPr="00C558E0" w:rsidRDefault="001E3C31" w:rsidP="00754596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KADOM</w:t>
            </w:r>
          </w:p>
        </w:tc>
      </w:tr>
      <w:tr w:rsidR="00EE2A16" w14:paraId="3E3AD0B1" w14:textId="77777777" w:rsidTr="00212C02">
        <w:trPr>
          <w:jc w:val="center"/>
        </w:trPr>
        <w:tc>
          <w:tcPr>
            <w:tcW w:w="152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2218712" w14:textId="5176A0C6" w:rsidR="00EE2A16" w:rsidRPr="00C558E0" w:rsidRDefault="001E3C31" w:rsidP="00754596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16R</w:t>
            </w:r>
          </w:p>
        </w:tc>
        <w:tc>
          <w:tcPr>
            <w:tcW w:w="1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B47C025" w14:textId="58AD0C36" w:rsidR="00EE2A16" w:rsidRPr="00C558E0" w:rsidRDefault="001E3C31" w:rsidP="00754596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WOL</w:t>
            </w:r>
            <w:r w:rsidR="002B5E11"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630" w:type="dxa"/>
          </w:tcPr>
          <w:p w14:paraId="5AA2EFA1" w14:textId="41B82FD1" w:rsidR="00EE2A16" w:rsidRPr="00C558E0" w:rsidRDefault="001E3C31" w:rsidP="00754596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KAMPI</w:t>
            </w:r>
          </w:p>
        </w:tc>
        <w:tc>
          <w:tcPr>
            <w:tcW w:w="1870" w:type="dxa"/>
            <w:vAlign w:val="center"/>
          </w:tcPr>
          <w:p w14:paraId="37CFE96D" w14:textId="3920D820" w:rsidR="00EE2A16" w:rsidRPr="00C558E0" w:rsidRDefault="001E3C31" w:rsidP="00754596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WOL</w:t>
            </w:r>
          </w:p>
        </w:tc>
      </w:tr>
      <w:tr w:rsidR="00EE2A16" w14:paraId="4C423943" w14:textId="77777777" w:rsidTr="00212C02">
        <w:trPr>
          <w:jc w:val="center"/>
        </w:trPr>
        <w:tc>
          <w:tcPr>
            <w:tcW w:w="152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164E4D3" w14:textId="41968665" w:rsidR="00EE2A16" w:rsidRPr="00C558E0" w:rsidRDefault="001E3C31" w:rsidP="00754596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16R</w:t>
            </w:r>
          </w:p>
        </w:tc>
        <w:tc>
          <w:tcPr>
            <w:tcW w:w="1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6AB5A47" w14:textId="3D59876D" w:rsidR="00EE2A16" w:rsidRPr="00F80310" w:rsidRDefault="00F80310" w:rsidP="00754596">
            <w:pPr>
              <w:spacing w:before="120" w:after="120"/>
              <w:jc w:val="center"/>
              <w:rPr>
                <w:i/>
                <w:iCs/>
                <w:sz w:val="20"/>
                <w:szCs w:val="20"/>
              </w:rPr>
            </w:pPr>
            <w:r w:rsidRPr="00F80310">
              <w:rPr>
                <w:i/>
                <w:iCs/>
                <w:sz w:val="20"/>
                <w:szCs w:val="20"/>
              </w:rPr>
              <w:t>a</w:t>
            </w:r>
            <w:r w:rsidR="001E3C31" w:rsidRPr="00F80310">
              <w:rPr>
                <w:i/>
                <w:iCs/>
                <w:sz w:val="20"/>
                <w:szCs w:val="20"/>
              </w:rPr>
              <w:t>ll others</w:t>
            </w:r>
          </w:p>
        </w:tc>
        <w:tc>
          <w:tcPr>
            <w:tcW w:w="1630" w:type="dxa"/>
          </w:tcPr>
          <w:p w14:paraId="36B337BA" w14:textId="33729AD1" w:rsidR="00EE2A16" w:rsidRPr="00C558E0" w:rsidRDefault="00034448" w:rsidP="00754596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KAMPI</w:t>
            </w:r>
          </w:p>
        </w:tc>
        <w:tc>
          <w:tcPr>
            <w:tcW w:w="1870" w:type="dxa"/>
            <w:vAlign w:val="center"/>
          </w:tcPr>
          <w:p w14:paraId="146D9D8F" w14:textId="280D2D2C" w:rsidR="00EE2A16" w:rsidRPr="00034448" w:rsidRDefault="00034448" w:rsidP="00754596">
            <w:pPr>
              <w:spacing w:before="120" w:after="120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radar</w:t>
            </w:r>
          </w:p>
        </w:tc>
      </w:tr>
      <w:tr w:rsidR="00EE2A16" w14:paraId="0FF30765" w14:textId="77777777" w:rsidTr="00212C02">
        <w:trPr>
          <w:jc w:val="center"/>
        </w:trPr>
        <w:tc>
          <w:tcPr>
            <w:tcW w:w="152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39B8FAA" w14:textId="41389B54" w:rsidR="00EE2A16" w:rsidRPr="00C558E0" w:rsidRDefault="00F80310" w:rsidP="00754596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34L</w:t>
            </w:r>
          </w:p>
        </w:tc>
        <w:tc>
          <w:tcPr>
            <w:tcW w:w="1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1E33BCF" w14:textId="23016D48" w:rsidR="00EE2A16" w:rsidRPr="00C558E0" w:rsidRDefault="00F80310" w:rsidP="00754596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WOL</w:t>
            </w:r>
            <w:r w:rsidR="00135ADE"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630" w:type="dxa"/>
          </w:tcPr>
          <w:p w14:paraId="257A3FE1" w14:textId="22E81F41" w:rsidR="00EE2A16" w:rsidRPr="00C558E0" w:rsidRDefault="00F80310" w:rsidP="00754596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WOL</w:t>
            </w:r>
          </w:p>
        </w:tc>
        <w:tc>
          <w:tcPr>
            <w:tcW w:w="1870" w:type="dxa"/>
            <w:vAlign w:val="center"/>
          </w:tcPr>
          <w:p w14:paraId="5DF15FBF" w14:textId="5DC1C8CF" w:rsidR="00EE2A16" w:rsidRPr="00291622" w:rsidRDefault="00F80310" w:rsidP="00754596">
            <w:pPr>
              <w:spacing w:before="120"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1622">
              <w:rPr>
                <w:i/>
                <w:iCs/>
                <w:color w:val="FF0000"/>
                <w:sz w:val="20"/>
                <w:szCs w:val="20"/>
              </w:rPr>
              <w:t>N/A</w:t>
            </w:r>
          </w:p>
        </w:tc>
      </w:tr>
      <w:tr w:rsidR="00EE2A16" w14:paraId="731F9E63" w14:textId="77777777" w:rsidTr="00212C02">
        <w:trPr>
          <w:jc w:val="center"/>
        </w:trPr>
        <w:tc>
          <w:tcPr>
            <w:tcW w:w="152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C07D38B" w14:textId="7C212313" w:rsidR="00EE2A16" w:rsidRPr="00C558E0" w:rsidRDefault="00E13C17" w:rsidP="00754596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34L</w:t>
            </w:r>
          </w:p>
        </w:tc>
        <w:tc>
          <w:tcPr>
            <w:tcW w:w="1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34B5856" w14:textId="1C022174" w:rsidR="00EE2A16" w:rsidRPr="00C558E0" w:rsidRDefault="00E13C17" w:rsidP="00754596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KADOM</w:t>
            </w:r>
          </w:p>
        </w:tc>
        <w:tc>
          <w:tcPr>
            <w:tcW w:w="1630" w:type="dxa"/>
          </w:tcPr>
          <w:p w14:paraId="4C8890BE" w14:textId="112AFBC2" w:rsidR="00EE2A16" w:rsidRPr="00C558E0" w:rsidRDefault="00E13C17" w:rsidP="00754596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KADOM</w:t>
            </w:r>
          </w:p>
        </w:tc>
        <w:tc>
          <w:tcPr>
            <w:tcW w:w="1870" w:type="dxa"/>
            <w:vAlign w:val="center"/>
          </w:tcPr>
          <w:p w14:paraId="2E259706" w14:textId="483D779A" w:rsidR="00EE2A16" w:rsidRPr="00291622" w:rsidRDefault="00E13C17" w:rsidP="00754596">
            <w:pPr>
              <w:spacing w:before="120"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1622">
              <w:rPr>
                <w:i/>
                <w:iCs/>
                <w:color w:val="FF0000"/>
                <w:sz w:val="20"/>
                <w:szCs w:val="20"/>
              </w:rPr>
              <w:t>N/A</w:t>
            </w:r>
          </w:p>
        </w:tc>
      </w:tr>
      <w:tr w:rsidR="00EE2A16" w14:paraId="072237A1" w14:textId="77777777" w:rsidTr="00212C02">
        <w:trPr>
          <w:jc w:val="center"/>
        </w:trPr>
        <w:tc>
          <w:tcPr>
            <w:tcW w:w="152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F0C3AAC" w14:textId="3F029690" w:rsidR="00EE2A16" w:rsidRPr="00C558E0" w:rsidRDefault="008A543E" w:rsidP="00754596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34L</w:t>
            </w:r>
          </w:p>
        </w:tc>
        <w:tc>
          <w:tcPr>
            <w:tcW w:w="1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33391F5" w14:textId="4DDF4727" w:rsidR="00EE2A16" w:rsidRPr="00C558E0" w:rsidRDefault="008A543E" w:rsidP="00754596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RIC</w:t>
            </w:r>
          </w:p>
        </w:tc>
        <w:tc>
          <w:tcPr>
            <w:tcW w:w="1630" w:type="dxa"/>
          </w:tcPr>
          <w:p w14:paraId="5C7323B1" w14:textId="075DA7AD" w:rsidR="00EE2A16" w:rsidRPr="00C558E0" w:rsidRDefault="008A543E" w:rsidP="00754596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RIC</w:t>
            </w:r>
          </w:p>
        </w:tc>
        <w:tc>
          <w:tcPr>
            <w:tcW w:w="1870" w:type="dxa"/>
            <w:vAlign w:val="center"/>
          </w:tcPr>
          <w:p w14:paraId="482D2646" w14:textId="3D57CE2A" w:rsidR="00EE2A16" w:rsidRPr="00C558E0" w:rsidRDefault="008A543E" w:rsidP="00754596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RIC</w:t>
            </w:r>
          </w:p>
        </w:tc>
      </w:tr>
      <w:tr w:rsidR="008A543E" w14:paraId="2F1B29F6" w14:textId="77777777" w:rsidTr="00212C02">
        <w:trPr>
          <w:jc w:val="center"/>
        </w:trPr>
        <w:tc>
          <w:tcPr>
            <w:tcW w:w="152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6BCDA0E" w14:textId="25BC0229" w:rsidR="008A543E" w:rsidRPr="00C558E0" w:rsidRDefault="008A543E" w:rsidP="008A543E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34L</w:t>
            </w:r>
          </w:p>
        </w:tc>
        <w:tc>
          <w:tcPr>
            <w:tcW w:w="1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6061843" w14:textId="655726CA" w:rsidR="008A543E" w:rsidRDefault="008A543E" w:rsidP="008A543E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F80310">
              <w:rPr>
                <w:i/>
                <w:iCs/>
                <w:sz w:val="20"/>
                <w:szCs w:val="20"/>
              </w:rPr>
              <w:t>all others</w:t>
            </w:r>
          </w:p>
        </w:tc>
        <w:tc>
          <w:tcPr>
            <w:tcW w:w="1630" w:type="dxa"/>
          </w:tcPr>
          <w:p w14:paraId="42DD9FA0" w14:textId="46BCEB2D" w:rsidR="008A543E" w:rsidRPr="00C558E0" w:rsidRDefault="008A543E" w:rsidP="008A543E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RIC</w:t>
            </w:r>
          </w:p>
        </w:tc>
        <w:tc>
          <w:tcPr>
            <w:tcW w:w="1870" w:type="dxa"/>
            <w:vAlign w:val="center"/>
          </w:tcPr>
          <w:p w14:paraId="4B419C6F" w14:textId="26133001" w:rsidR="008A543E" w:rsidRDefault="008A543E" w:rsidP="008A543E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radar</w:t>
            </w:r>
          </w:p>
        </w:tc>
      </w:tr>
      <w:tr w:rsidR="008A543E" w14:paraId="2B2141A5" w14:textId="77777777" w:rsidTr="00212C02">
        <w:trPr>
          <w:jc w:val="center"/>
        </w:trPr>
        <w:tc>
          <w:tcPr>
            <w:tcW w:w="152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025A1D3" w14:textId="43398839" w:rsidR="008A543E" w:rsidRPr="00C558E0" w:rsidRDefault="008A543E" w:rsidP="008A543E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34R</w:t>
            </w:r>
          </w:p>
        </w:tc>
        <w:tc>
          <w:tcPr>
            <w:tcW w:w="1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EBE0539" w14:textId="4212AD09" w:rsidR="008A543E" w:rsidRPr="00C558E0" w:rsidRDefault="008A543E" w:rsidP="008A543E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OLSEM</w:t>
            </w:r>
          </w:p>
        </w:tc>
        <w:tc>
          <w:tcPr>
            <w:tcW w:w="1630" w:type="dxa"/>
          </w:tcPr>
          <w:p w14:paraId="5ADB5949" w14:textId="3D6E10D8" w:rsidR="008A543E" w:rsidRPr="00C558E0" w:rsidRDefault="008A543E" w:rsidP="008A543E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OLSEM</w:t>
            </w:r>
          </w:p>
        </w:tc>
        <w:tc>
          <w:tcPr>
            <w:tcW w:w="1870" w:type="dxa"/>
            <w:vAlign w:val="center"/>
          </w:tcPr>
          <w:p w14:paraId="2BFD2FD8" w14:textId="1077B4E9" w:rsidR="008A543E" w:rsidRPr="00291622" w:rsidRDefault="00301963" w:rsidP="008A543E">
            <w:pPr>
              <w:spacing w:before="120"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1622">
              <w:rPr>
                <w:i/>
                <w:iCs/>
                <w:color w:val="FF0000"/>
                <w:sz w:val="20"/>
                <w:szCs w:val="20"/>
              </w:rPr>
              <w:t>N/A</w:t>
            </w:r>
          </w:p>
        </w:tc>
      </w:tr>
      <w:tr w:rsidR="008A543E" w14:paraId="01A9DA16" w14:textId="77777777" w:rsidTr="00212C02">
        <w:trPr>
          <w:jc w:val="center"/>
        </w:trPr>
        <w:tc>
          <w:tcPr>
            <w:tcW w:w="152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5E0180E" w14:textId="7B035DA1" w:rsidR="008A543E" w:rsidRPr="00C558E0" w:rsidRDefault="00301963" w:rsidP="008A543E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34R</w:t>
            </w:r>
          </w:p>
        </w:tc>
        <w:tc>
          <w:tcPr>
            <w:tcW w:w="1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107A501" w14:textId="529E6E7C" w:rsidR="008A543E" w:rsidRPr="00C558E0" w:rsidRDefault="00301963" w:rsidP="008A543E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WOL</w:t>
            </w:r>
            <w:r w:rsidR="00135ADE">
              <w:rPr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1630" w:type="dxa"/>
          </w:tcPr>
          <w:p w14:paraId="4D5201FC" w14:textId="3F59AAB3" w:rsidR="008A543E" w:rsidRPr="00C558E0" w:rsidRDefault="00301963" w:rsidP="008A543E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MARUB</w:t>
            </w:r>
          </w:p>
        </w:tc>
        <w:tc>
          <w:tcPr>
            <w:tcW w:w="1870" w:type="dxa"/>
            <w:vAlign w:val="center"/>
          </w:tcPr>
          <w:p w14:paraId="5E230CAB" w14:textId="043534D6" w:rsidR="008A543E" w:rsidRPr="00C558E0" w:rsidRDefault="00301963" w:rsidP="008A543E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WOL</w:t>
            </w:r>
          </w:p>
        </w:tc>
      </w:tr>
      <w:tr w:rsidR="00301963" w14:paraId="790141C4" w14:textId="77777777" w:rsidTr="00212C02">
        <w:trPr>
          <w:jc w:val="center"/>
        </w:trPr>
        <w:tc>
          <w:tcPr>
            <w:tcW w:w="152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940363F" w14:textId="09C157F5" w:rsidR="00301963" w:rsidRPr="00C558E0" w:rsidRDefault="00301963" w:rsidP="00301963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34R</w:t>
            </w:r>
          </w:p>
        </w:tc>
        <w:tc>
          <w:tcPr>
            <w:tcW w:w="1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F6DD060" w14:textId="1C5306E6" w:rsidR="00301963" w:rsidRDefault="00301963" w:rsidP="00301963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F80310">
              <w:rPr>
                <w:i/>
                <w:iCs/>
                <w:sz w:val="20"/>
                <w:szCs w:val="20"/>
              </w:rPr>
              <w:t>all others</w:t>
            </w:r>
          </w:p>
        </w:tc>
        <w:tc>
          <w:tcPr>
            <w:tcW w:w="1630" w:type="dxa"/>
          </w:tcPr>
          <w:p w14:paraId="62DFDA46" w14:textId="3C4AF2F8" w:rsidR="00301963" w:rsidRPr="00C558E0" w:rsidRDefault="00301963" w:rsidP="00301963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C558E0">
              <w:rPr>
                <w:b/>
                <w:bCs/>
                <w:sz w:val="20"/>
                <w:szCs w:val="20"/>
              </w:rPr>
              <w:t>MAR</w:t>
            </w:r>
            <w:r w:rsidR="00D87D3D">
              <w:rPr>
                <w:b/>
                <w:bCs/>
                <w:sz w:val="20"/>
                <w:szCs w:val="20"/>
              </w:rPr>
              <w:t>U</w:t>
            </w:r>
            <w:r w:rsidRPr="00C558E0"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1870" w:type="dxa"/>
            <w:vAlign w:val="center"/>
          </w:tcPr>
          <w:p w14:paraId="40C5A2BF" w14:textId="7FA8E8A2" w:rsidR="00301963" w:rsidRDefault="00301963" w:rsidP="00301963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radar</w:t>
            </w:r>
          </w:p>
        </w:tc>
      </w:tr>
    </w:tbl>
    <w:p w14:paraId="53B524E9" w14:textId="2B44294D" w:rsidR="003B6591" w:rsidRDefault="00F75A00" w:rsidP="00523944">
      <w:pPr>
        <w:spacing w:before="240" w:after="0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*Note that both 34L &amp; 34R</w:t>
      </w:r>
      <w:r w:rsidR="003939C7">
        <w:rPr>
          <w:i/>
          <w:iCs/>
          <w:sz w:val="22"/>
          <w:szCs w:val="22"/>
        </w:rPr>
        <w:t>, and 16L &amp; 16R</w:t>
      </w:r>
      <w:r>
        <w:rPr>
          <w:i/>
          <w:iCs/>
          <w:sz w:val="22"/>
          <w:szCs w:val="22"/>
        </w:rPr>
        <w:t xml:space="preserve"> are available for WOL deps</w:t>
      </w:r>
      <w:r w:rsidR="003939C7">
        <w:rPr>
          <w:i/>
          <w:iCs/>
          <w:sz w:val="22"/>
          <w:szCs w:val="22"/>
        </w:rPr>
        <w:t xml:space="preserve">. </w:t>
      </w:r>
      <w:r w:rsidR="00120B2A">
        <w:rPr>
          <w:i/>
          <w:iCs/>
          <w:sz w:val="22"/>
          <w:szCs w:val="22"/>
        </w:rPr>
        <w:t xml:space="preserve">Delivery will issue </w:t>
      </w:r>
      <w:r w:rsidR="00BA5A2C">
        <w:rPr>
          <w:i/>
          <w:iCs/>
          <w:sz w:val="22"/>
          <w:szCs w:val="22"/>
        </w:rPr>
        <w:t>WOL deps</w:t>
      </w:r>
      <w:r w:rsidR="00120B2A">
        <w:rPr>
          <w:i/>
          <w:iCs/>
          <w:sz w:val="22"/>
          <w:szCs w:val="22"/>
        </w:rPr>
        <w:t xml:space="preserve"> from the international terminal the </w:t>
      </w:r>
      <w:r w:rsidR="005B2E38">
        <w:rPr>
          <w:i/>
          <w:iCs/>
          <w:sz w:val="22"/>
          <w:szCs w:val="22"/>
        </w:rPr>
        <w:t>western runway</w:t>
      </w:r>
      <w:r w:rsidR="0035487D">
        <w:rPr>
          <w:i/>
          <w:iCs/>
          <w:sz w:val="22"/>
          <w:szCs w:val="22"/>
        </w:rPr>
        <w:t xml:space="preserve"> (16R/34L)</w:t>
      </w:r>
      <w:r w:rsidR="005B2E38">
        <w:rPr>
          <w:i/>
          <w:iCs/>
          <w:sz w:val="22"/>
          <w:szCs w:val="22"/>
        </w:rPr>
        <w:t xml:space="preserve">, and </w:t>
      </w:r>
      <w:r w:rsidR="00BA5A2C">
        <w:rPr>
          <w:i/>
          <w:iCs/>
          <w:sz w:val="22"/>
          <w:szCs w:val="22"/>
        </w:rPr>
        <w:t>WOL deps</w:t>
      </w:r>
      <w:r w:rsidR="005B2E38">
        <w:rPr>
          <w:i/>
          <w:iCs/>
          <w:sz w:val="22"/>
          <w:szCs w:val="22"/>
        </w:rPr>
        <w:t xml:space="preserve"> from the domestic terminal the eastern runway</w:t>
      </w:r>
      <w:r w:rsidR="0035487D">
        <w:rPr>
          <w:i/>
          <w:iCs/>
          <w:sz w:val="22"/>
          <w:szCs w:val="22"/>
        </w:rPr>
        <w:t xml:space="preserve"> (16L/34R)</w:t>
      </w:r>
      <w:r w:rsidR="005B2E38">
        <w:rPr>
          <w:i/>
          <w:iCs/>
          <w:sz w:val="22"/>
          <w:szCs w:val="22"/>
        </w:rPr>
        <w:t xml:space="preserve">, in order to </w:t>
      </w:r>
      <w:r w:rsidR="0065071D">
        <w:rPr>
          <w:i/>
          <w:iCs/>
          <w:sz w:val="22"/>
          <w:szCs w:val="22"/>
        </w:rPr>
        <w:t>balance traffic and minimise runway crossings</w:t>
      </w:r>
      <w:r w:rsidR="002B5E11">
        <w:rPr>
          <w:i/>
          <w:iCs/>
          <w:sz w:val="22"/>
          <w:szCs w:val="22"/>
        </w:rPr>
        <w:t xml:space="preserve"> (particularly for 34L&amp;R).</w:t>
      </w:r>
    </w:p>
    <w:p w14:paraId="292DA482" w14:textId="77777777" w:rsidR="0020218D" w:rsidRDefault="0020218D" w:rsidP="00523944">
      <w:pPr>
        <w:spacing w:before="240" w:after="0"/>
        <w:jc w:val="left"/>
        <w:rPr>
          <w:i/>
          <w:iCs/>
          <w:sz w:val="22"/>
          <w:szCs w:val="22"/>
        </w:rPr>
      </w:pPr>
    </w:p>
    <w:p w14:paraId="4C5D4CEA" w14:textId="0E1AFC50" w:rsidR="003B6591" w:rsidRDefault="003B6591" w:rsidP="003B6591">
      <w:pPr>
        <w:pStyle w:val="Heading3"/>
        <w:spacing w:after="200"/>
      </w:pPr>
      <w:r>
        <w:t>Transfer to Ground</w:t>
      </w:r>
    </w:p>
    <w:p w14:paraId="325C8D38" w14:textId="2170C45C" w:rsidR="003B6591" w:rsidRDefault="003B6591" w:rsidP="003B6591">
      <w:pPr>
        <w:jc w:val="left"/>
      </w:pPr>
      <w:r>
        <w:t xml:space="preserve">After reading back </w:t>
      </w:r>
      <w:r w:rsidR="00E705CB">
        <w:t xml:space="preserve">clearance, Delivery should instruct aircraft to contact Sydney Ground when ready for </w:t>
      </w:r>
      <w:r w:rsidR="00695C74">
        <w:t>pushback, on the following frequencies:</w:t>
      </w:r>
    </w:p>
    <w:p w14:paraId="58B4D950" w14:textId="372AF969" w:rsidR="00695C74" w:rsidRDefault="00695C74" w:rsidP="003B6591">
      <w:pPr>
        <w:jc w:val="left"/>
      </w:pPr>
      <w:r>
        <w:t xml:space="preserve">When </w:t>
      </w:r>
      <w:r w:rsidR="009D47A8">
        <w:t>Sydney Ground</w:t>
      </w:r>
      <w:r>
        <w:t xml:space="preserve"> is bandboxed</w:t>
      </w:r>
      <w:r w:rsidR="009D47A8">
        <w:t xml:space="preserve"> as YSSY_GND</w:t>
      </w:r>
      <w:r>
        <w:t>:</w:t>
      </w:r>
    </w:p>
    <w:p w14:paraId="7C784AAB" w14:textId="7492A3E1" w:rsidR="00695C74" w:rsidRDefault="009D47A8" w:rsidP="00172055">
      <w:pPr>
        <w:ind w:firstLine="720"/>
        <w:jc w:val="left"/>
      </w:pPr>
      <w:r>
        <w:t>All aircraft: 121.7</w:t>
      </w:r>
    </w:p>
    <w:p w14:paraId="27147FF7" w14:textId="2790F70A" w:rsidR="009D47A8" w:rsidRDefault="009D47A8" w:rsidP="003B6591">
      <w:pPr>
        <w:jc w:val="left"/>
      </w:pPr>
      <w:r>
        <w:t>When Sydney Ground is split into YSSY_E_GND and YSSY_W_GND:</w:t>
      </w:r>
    </w:p>
    <w:p w14:paraId="24A748DC" w14:textId="549A95E0" w:rsidR="00695C74" w:rsidRDefault="00695C74" w:rsidP="00172055">
      <w:pPr>
        <w:ind w:firstLine="720"/>
        <w:jc w:val="left"/>
      </w:pPr>
      <w:r>
        <w:t>Aircraft east of 16</w:t>
      </w:r>
      <w:r w:rsidR="009D47A8">
        <w:t xml:space="preserve">R/34L: </w:t>
      </w:r>
      <w:r w:rsidR="00224DEF">
        <w:t>121.7</w:t>
      </w:r>
    </w:p>
    <w:p w14:paraId="19367481" w14:textId="54BCC9CE" w:rsidR="00224DEF" w:rsidRDefault="00224DEF" w:rsidP="00172055">
      <w:pPr>
        <w:ind w:firstLine="720"/>
        <w:jc w:val="left"/>
      </w:pPr>
      <w:r>
        <w:t xml:space="preserve">Aircraft west of 16L/34R: </w:t>
      </w:r>
      <w:r w:rsidR="00B75FE0">
        <w:t>126.5</w:t>
      </w:r>
    </w:p>
    <w:p w14:paraId="67A1BB00" w14:textId="7F5CEEC5" w:rsidR="00FB58CC" w:rsidRDefault="00FB58CC" w:rsidP="003B6591">
      <w:pPr>
        <w:jc w:val="left"/>
      </w:pPr>
      <w:r>
        <w:rPr>
          <w:noProof/>
        </w:rPr>
        <w:drawing>
          <wp:inline distT="0" distB="0" distL="0" distR="0" wp14:anchorId="7CB4A27D" wp14:editId="6C387048">
            <wp:extent cx="5730875" cy="2352675"/>
            <wp:effectExtent l="0" t="0" r="3175" b="9525"/>
            <wp:docPr id="1254231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337"/>
                    <a:stretch/>
                  </pic:blipFill>
                  <pic:spPr bwMode="auto">
                    <a:xfrm>
                      <a:off x="0" y="0"/>
                      <a:ext cx="57308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0000D" w14:textId="77777777" w:rsidR="00172055" w:rsidRPr="009B2555" w:rsidRDefault="00172055" w:rsidP="00172055">
      <w:pPr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Image from AIP Sept 2023. Uncontrolled.</w:t>
      </w:r>
    </w:p>
    <w:p w14:paraId="62002E7F" w14:textId="4209D3F7" w:rsidR="003B6591" w:rsidRDefault="00172055" w:rsidP="00172055">
      <w:pPr>
        <w:spacing w:after="0"/>
        <w:jc w:val="left"/>
        <w:rPr>
          <w:i/>
          <w:iCs/>
        </w:rPr>
      </w:pPr>
      <w:r>
        <w:rPr>
          <w:i/>
          <w:iCs/>
        </w:rPr>
        <w:t>Orange – YSSY_E_GND (121.7)</w:t>
      </w:r>
    </w:p>
    <w:p w14:paraId="2DFF35AE" w14:textId="1F25DE59" w:rsidR="00172055" w:rsidRDefault="00172055" w:rsidP="00172055">
      <w:pPr>
        <w:spacing w:after="0"/>
        <w:jc w:val="left"/>
        <w:rPr>
          <w:i/>
          <w:iCs/>
        </w:rPr>
      </w:pPr>
      <w:r>
        <w:rPr>
          <w:i/>
          <w:iCs/>
        </w:rPr>
        <w:t>Blue – YSSY_W_GND (126.5)</w:t>
      </w:r>
    </w:p>
    <w:p w14:paraId="4437DBFC" w14:textId="77777777" w:rsidR="00172055" w:rsidRDefault="00172055" w:rsidP="00172055">
      <w:pPr>
        <w:spacing w:after="0"/>
        <w:jc w:val="left"/>
        <w:rPr>
          <w:i/>
          <w:iCs/>
        </w:rPr>
      </w:pPr>
    </w:p>
    <w:p w14:paraId="2942E0A4" w14:textId="7536B7CB" w:rsidR="00596C12" w:rsidRDefault="00142DD9" w:rsidP="00172055">
      <w:pPr>
        <w:spacing w:after="0"/>
        <w:jc w:val="left"/>
        <w:rPr>
          <w:i/>
          <w:iCs/>
        </w:rPr>
      </w:pPr>
      <w:r>
        <w:rPr>
          <w:i/>
          <w:iCs/>
        </w:rPr>
        <w:t xml:space="preserve">Note the phraseology ‘Readback Correct’ is </w:t>
      </w:r>
      <w:r w:rsidRPr="00142DD9">
        <w:rPr>
          <w:i/>
          <w:iCs/>
          <w:u w:val="single"/>
        </w:rPr>
        <w:t>not</w:t>
      </w:r>
      <w:r>
        <w:rPr>
          <w:i/>
          <w:iCs/>
        </w:rPr>
        <w:t xml:space="preserve"> used in Australia.</w:t>
      </w:r>
    </w:p>
    <w:p w14:paraId="6A553896" w14:textId="77777777" w:rsidR="00596C12" w:rsidRDefault="00596C12" w:rsidP="00172055">
      <w:pPr>
        <w:spacing w:after="0"/>
        <w:jc w:val="left"/>
        <w:rPr>
          <w:i/>
          <w:iCs/>
        </w:rPr>
      </w:pPr>
    </w:p>
    <w:p w14:paraId="65AD9EC8" w14:textId="77777777" w:rsidR="00596C12" w:rsidRDefault="00596C12" w:rsidP="00172055">
      <w:pPr>
        <w:spacing w:after="0"/>
        <w:jc w:val="left"/>
        <w:rPr>
          <w:i/>
          <w:iCs/>
        </w:rPr>
      </w:pPr>
    </w:p>
    <w:p w14:paraId="3B0A83B6" w14:textId="77777777" w:rsidR="00596C12" w:rsidRDefault="00596C12" w:rsidP="00172055">
      <w:pPr>
        <w:spacing w:after="0"/>
        <w:jc w:val="left"/>
        <w:rPr>
          <w:i/>
          <w:iCs/>
        </w:rPr>
      </w:pPr>
    </w:p>
    <w:p w14:paraId="49F1B42F" w14:textId="77777777" w:rsidR="00596C12" w:rsidRPr="00172055" w:rsidRDefault="00596C12" w:rsidP="00172055">
      <w:pPr>
        <w:spacing w:after="0"/>
        <w:jc w:val="left"/>
        <w:rPr>
          <w:i/>
          <w:iCs/>
        </w:rPr>
      </w:pPr>
    </w:p>
    <w:p w14:paraId="7219480F" w14:textId="41C7D548" w:rsidR="003D7313" w:rsidRPr="001D774B" w:rsidRDefault="003D7313" w:rsidP="00523944">
      <w:pPr>
        <w:spacing w:before="240" w:after="0"/>
        <w:jc w:val="left"/>
        <w:rPr>
          <w:i/>
          <w:iCs/>
          <w:sz w:val="20"/>
          <w:szCs w:val="20"/>
        </w:rPr>
      </w:pPr>
      <w:r w:rsidRPr="001D774B">
        <w:rPr>
          <w:i/>
          <w:iCs/>
          <w:sz w:val="22"/>
          <w:szCs w:val="22"/>
        </w:rPr>
        <w:t>In addition to this manual, we recommend you read the</w:t>
      </w:r>
      <w:r w:rsidR="00204AC1">
        <w:rPr>
          <w:i/>
          <w:iCs/>
          <w:sz w:val="22"/>
          <w:szCs w:val="22"/>
        </w:rPr>
        <w:t xml:space="preserve"> Sydney Approach,</w:t>
      </w:r>
      <w:r w:rsidRPr="001D774B">
        <w:rPr>
          <w:i/>
          <w:iCs/>
          <w:sz w:val="22"/>
          <w:szCs w:val="22"/>
        </w:rPr>
        <w:t xml:space="preserve"> Sydney Tower &amp; Sydney </w:t>
      </w:r>
      <w:r w:rsidR="00204AC1">
        <w:rPr>
          <w:i/>
          <w:iCs/>
          <w:sz w:val="22"/>
          <w:szCs w:val="22"/>
        </w:rPr>
        <w:t>Ground</w:t>
      </w:r>
      <w:r w:rsidRPr="001D774B">
        <w:rPr>
          <w:i/>
          <w:iCs/>
          <w:sz w:val="22"/>
          <w:szCs w:val="22"/>
        </w:rPr>
        <w:t xml:space="preserve"> Ops Manuals </w:t>
      </w:r>
      <w:r w:rsidR="003D7594" w:rsidRPr="001D774B">
        <w:rPr>
          <w:i/>
          <w:iCs/>
          <w:sz w:val="22"/>
          <w:szCs w:val="22"/>
        </w:rPr>
        <w:t>to</w:t>
      </w:r>
      <w:r w:rsidRPr="001D774B">
        <w:rPr>
          <w:i/>
          <w:iCs/>
          <w:sz w:val="22"/>
          <w:szCs w:val="22"/>
        </w:rPr>
        <w:t xml:space="preserve"> fully understand the position and </w:t>
      </w:r>
      <w:r w:rsidR="003D7594" w:rsidRPr="001D774B">
        <w:rPr>
          <w:i/>
          <w:iCs/>
          <w:sz w:val="22"/>
          <w:szCs w:val="22"/>
        </w:rPr>
        <w:t xml:space="preserve">related </w:t>
      </w:r>
      <w:r w:rsidRPr="001D774B">
        <w:rPr>
          <w:i/>
          <w:iCs/>
          <w:sz w:val="22"/>
          <w:szCs w:val="22"/>
        </w:rPr>
        <w:t xml:space="preserve">procedures. </w:t>
      </w:r>
    </w:p>
    <w:sectPr w:rsidR="003D7313" w:rsidRPr="001D774B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CAA86B" w14:textId="77777777" w:rsidR="00172066" w:rsidRDefault="00172066">
      <w:pPr>
        <w:spacing w:after="0" w:line="240" w:lineRule="auto"/>
      </w:pPr>
      <w:r>
        <w:separator/>
      </w:r>
    </w:p>
  </w:endnote>
  <w:endnote w:type="continuationSeparator" w:id="0">
    <w:p w14:paraId="007DFAA4" w14:textId="77777777" w:rsidR="00172066" w:rsidRDefault="00172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Poppins ExtraLight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40A74" w14:textId="7C6686A9" w:rsidR="00D16F08" w:rsidRPr="00D16F08" w:rsidRDefault="00D16F08" w:rsidP="00D16F08">
    <w:pPr>
      <w:pStyle w:val="Footer"/>
      <w:jc w:val="center"/>
      <w:rPr>
        <w:sz w:val="20"/>
        <w:szCs w:val="20"/>
      </w:rPr>
    </w:pPr>
    <w:r w:rsidRPr="00D16F08">
      <w:rPr>
        <w:sz w:val="20"/>
        <w:szCs w:val="20"/>
      </w:rPr>
      <w:t>V</w:t>
    </w:r>
    <w:r w:rsidR="007E1A29">
      <w:rPr>
        <w:sz w:val="20"/>
        <w:szCs w:val="20"/>
      </w:rPr>
      <w:t>1.0</w:t>
    </w:r>
  </w:p>
  <w:p w14:paraId="52D722CD" w14:textId="17D43CFA" w:rsidR="00D16F08" w:rsidRPr="00D16F08" w:rsidRDefault="00D16F08" w:rsidP="00D16F08">
    <w:pPr>
      <w:pStyle w:val="Footer"/>
      <w:jc w:val="center"/>
      <w:rPr>
        <w:sz w:val="20"/>
        <w:szCs w:val="20"/>
      </w:rPr>
    </w:pPr>
    <w:r w:rsidRPr="00D16F08">
      <w:rPr>
        <w:sz w:val="20"/>
        <w:szCs w:val="20"/>
      </w:rPr>
      <w:t>10/06/2024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8F71C7" w14:textId="77777777" w:rsidR="00172066" w:rsidRDefault="00172066">
      <w:pPr>
        <w:spacing w:after="0" w:line="240" w:lineRule="auto"/>
      </w:pPr>
      <w:r>
        <w:separator/>
      </w:r>
    </w:p>
  </w:footnote>
  <w:footnote w:type="continuationSeparator" w:id="0">
    <w:p w14:paraId="4A5573F9" w14:textId="77777777" w:rsidR="00172066" w:rsidRDefault="00172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828B7" w14:textId="08355E8F" w:rsidR="008319C6" w:rsidRPr="008319C6" w:rsidRDefault="008319C6" w:rsidP="008319C6">
    <w:pPr>
      <w:pStyle w:val="Header"/>
      <w:jc w:val="center"/>
      <w:rPr>
        <w:sz w:val="20"/>
        <w:szCs w:val="20"/>
      </w:rPr>
    </w:pPr>
    <w:r w:rsidRPr="008319C6">
      <w:rPr>
        <w:sz w:val="20"/>
        <w:szCs w:val="20"/>
      </w:rPr>
      <w:t>YSSY ATC Ops Manual</w:t>
    </w:r>
    <w:r w:rsidR="00300ED7">
      <w:rPr>
        <w:sz w:val="20"/>
        <w:szCs w:val="20"/>
      </w:rPr>
      <w:t>: Delivery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60B04"/>
    <w:multiLevelType w:val="multilevel"/>
    <w:tmpl w:val="919234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E95996"/>
    <w:multiLevelType w:val="multilevel"/>
    <w:tmpl w:val="40AA3B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E92300"/>
    <w:multiLevelType w:val="hybridMultilevel"/>
    <w:tmpl w:val="CE74D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D5903"/>
    <w:multiLevelType w:val="multilevel"/>
    <w:tmpl w:val="2E50F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451C2A"/>
    <w:multiLevelType w:val="hybridMultilevel"/>
    <w:tmpl w:val="EF7890E8"/>
    <w:lvl w:ilvl="0" w:tplc="29DC3B94">
      <w:start w:val="121"/>
      <w:numFmt w:val="bullet"/>
      <w:lvlText w:val="-"/>
      <w:lvlJc w:val="left"/>
      <w:pPr>
        <w:ind w:left="720" w:hanging="360"/>
      </w:pPr>
      <w:rPr>
        <w:rFonts w:ascii="Poppins" w:eastAsia="MS Mincho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A1329"/>
    <w:multiLevelType w:val="multilevel"/>
    <w:tmpl w:val="7AC68E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E949F4"/>
    <w:multiLevelType w:val="hybridMultilevel"/>
    <w:tmpl w:val="B40A595A"/>
    <w:lvl w:ilvl="0" w:tplc="1C74E53C">
      <w:start w:val="58"/>
      <w:numFmt w:val="bullet"/>
      <w:lvlText w:val="-"/>
      <w:lvlJc w:val="left"/>
      <w:pPr>
        <w:ind w:left="720" w:hanging="360"/>
      </w:pPr>
      <w:rPr>
        <w:rFonts w:ascii="Poppins" w:eastAsia="MS Mincho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0494A"/>
    <w:multiLevelType w:val="hybridMultilevel"/>
    <w:tmpl w:val="D2D25BBE"/>
    <w:lvl w:ilvl="0" w:tplc="E2F20100">
      <w:numFmt w:val="bullet"/>
      <w:lvlText w:val="-"/>
      <w:lvlJc w:val="left"/>
      <w:pPr>
        <w:ind w:left="720" w:hanging="360"/>
      </w:pPr>
      <w:rPr>
        <w:rFonts w:ascii="Poppins" w:eastAsia="Poppins" w:hAnsi="Poppins" w:cs="Poppin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650D9"/>
    <w:multiLevelType w:val="multilevel"/>
    <w:tmpl w:val="B4F6EE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E285D79"/>
    <w:multiLevelType w:val="hybridMultilevel"/>
    <w:tmpl w:val="CB5E8FEE"/>
    <w:lvl w:ilvl="0" w:tplc="5AF03F40">
      <w:start w:val="58"/>
      <w:numFmt w:val="bullet"/>
      <w:lvlText w:val=""/>
      <w:lvlJc w:val="left"/>
      <w:pPr>
        <w:ind w:left="1080" w:hanging="360"/>
      </w:pPr>
      <w:rPr>
        <w:rFonts w:ascii="Symbol" w:eastAsia="MS Mincho" w:hAnsi="Symbol" w:cs="Poppi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632FA0"/>
    <w:multiLevelType w:val="multilevel"/>
    <w:tmpl w:val="82B278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35D35B6"/>
    <w:multiLevelType w:val="multilevel"/>
    <w:tmpl w:val="66CE48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F6560D"/>
    <w:multiLevelType w:val="hybridMultilevel"/>
    <w:tmpl w:val="37621D52"/>
    <w:lvl w:ilvl="0" w:tplc="69FC81F6">
      <w:start w:val="121"/>
      <w:numFmt w:val="bullet"/>
      <w:lvlText w:val="-"/>
      <w:lvlJc w:val="left"/>
      <w:pPr>
        <w:ind w:left="720" w:hanging="360"/>
      </w:pPr>
      <w:rPr>
        <w:rFonts w:ascii="Poppins" w:eastAsia="MS Mincho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116125"/>
    <w:multiLevelType w:val="multilevel"/>
    <w:tmpl w:val="3ADEBC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83151259">
    <w:abstractNumId w:val="1"/>
  </w:num>
  <w:num w:numId="2" w16cid:durableId="1427076530">
    <w:abstractNumId w:val="0"/>
  </w:num>
  <w:num w:numId="3" w16cid:durableId="1697729731">
    <w:abstractNumId w:val="10"/>
  </w:num>
  <w:num w:numId="4" w16cid:durableId="1034035752">
    <w:abstractNumId w:val="5"/>
  </w:num>
  <w:num w:numId="5" w16cid:durableId="944580403">
    <w:abstractNumId w:val="11"/>
  </w:num>
  <w:num w:numId="6" w16cid:durableId="181747474">
    <w:abstractNumId w:val="3"/>
  </w:num>
  <w:num w:numId="7" w16cid:durableId="1250120081">
    <w:abstractNumId w:val="8"/>
  </w:num>
  <w:num w:numId="8" w16cid:durableId="1757632841">
    <w:abstractNumId w:val="13"/>
  </w:num>
  <w:num w:numId="9" w16cid:durableId="975724940">
    <w:abstractNumId w:val="7"/>
  </w:num>
  <w:num w:numId="10" w16cid:durableId="1643074503">
    <w:abstractNumId w:val="9"/>
  </w:num>
  <w:num w:numId="11" w16cid:durableId="329866339">
    <w:abstractNumId w:val="6"/>
  </w:num>
  <w:num w:numId="12" w16cid:durableId="1057046657">
    <w:abstractNumId w:val="2"/>
  </w:num>
  <w:num w:numId="13" w16cid:durableId="1861701171">
    <w:abstractNumId w:val="12"/>
  </w:num>
  <w:num w:numId="14" w16cid:durableId="8985214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CF3"/>
    <w:rsid w:val="0000516F"/>
    <w:rsid w:val="0001086A"/>
    <w:rsid w:val="00011814"/>
    <w:rsid w:val="00017871"/>
    <w:rsid w:val="00017B96"/>
    <w:rsid w:val="0002544F"/>
    <w:rsid w:val="0003361F"/>
    <w:rsid w:val="00033829"/>
    <w:rsid w:val="00034448"/>
    <w:rsid w:val="00036002"/>
    <w:rsid w:val="0003680D"/>
    <w:rsid w:val="00036BC2"/>
    <w:rsid w:val="0004361C"/>
    <w:rsid w:val="00045476"/>
    <w:rsid w:val="000505F6"/>
    <w:rsid w:val="0005142F"/>
    <w:rsid w:val="0005311D"/>
    <w:rsid w:val="00053688"/>
    <w:rsid w:val="00060DAB"/>
    <w:rsid w:val="00062E29"/>
    <w:rsid w:val="00062ED3"/>
    <w:rsid w:val="000638F6"/>
    <w:rsid w:val="00064C9B"/>
    <w:rsid w:val="00065C68"/>
    <w:rsid w:val="00071C60"/>
    <w:rsid w:val="00072C1E"/>
    <w:rsid w:val="00083135"/>
    <w:rsid w:val="00083712"/>
    <w:rsid w:val="000856F4"/>
    <w:rsid w:val="0008656C"/>
    <w:rsid w:val="00087E69"/>
    <w:rsid w:val="00092880"/>
    <w:rsid w:val="00093AE6"/>
    <w:rsid w:val="00096FEA"/>
    <w:rsid w:val="000970D9"/>
    <w:rsid w:val="000A7177"/>
    <w:rsid w:val="000A7803"/>
    <w:rsid w:val="000B61AB"/>
    <w:rsid w:val="000C66FF"/>
    <w:rsid w:val="000D0B81"/>
    <w:rsid w:val="000D14AD"/>
    <w:rsid w:val="000D28DD"/>
    <w:rsid w:val="000D7B01"/>
    <w:rsid w:val="000E27B9"/>
    <w:rsid w:val="000F32E6"/>
    <w:rsid w:val="001016ED"/>
    <w:rsid w:val="0010187C"/>
    <w:rsid w:val="00103B9F"/>
    <w:rsid w:val="00104CEB"/>
    <w:rsid w:val="00107D85"/>
    <w:rsid w:val="00113148"/>
    <w:rsid w:val="001144DE"/>
    <w:rsid w:val="00120B2A"/>
    <w:rsid w:val="00121E39"/>
    <w:rsid w:val="00130BEC"/>
    <w:rsid w:val="00135ADE"/>
    <w:rsid w:val="001372AA"/>
    <w:rsid w:val="00142DD9"/>
    <w:rsid w:val="00144ADA"/>
    <w:rsid w:val="0014759A"/>
    <w:rsid w:val="00150DCB"/>
    <w:rsid w:val="001519DF"/>
    <w:rsid w:val="0015294D"/>
    <w:rsid w:val="00155D36"/>
    <w:rsid w:val="0016197D"/>
    <w:rsid w:val="001652B2"/>
    <w:rsid w:val="00167729"/>
    <w:rsid w:val="001709F2"/>
    <w:rsid w:val="00172055"/>
    <w:rsid w:val="00172066"/>
    <w:rsid w:val="00173326"/>
    <w:rsid w:val="00187AA4"/>
    <w:rsid w:val="001902D4"/>
    <w:rsid w:val="00192261"/>
    <w:rsid w:val="00192FDE"/>
    <w:rsid w:val="00193A9E"/>
    <w:rsid w:val="00194E70"/>
    <w:rsid w:val="001A72E5"/>
    <w:rsid w:val="001B073F"/>
    <w:rsid w:val="001B6D4B"/>
    <w:rsid w:val="001B7564"/>
    <w:rsid w:val="001C001E"/>
    <w:rsid w:val="001D6E14"/>
    <w:rsid w:val="001D774B"/>
    <w:rsid w:val="001E07A5"/>
    <w:rsid w:val="001E3802"/>
    <w:rsid w:val="001E3C31"/>
    <w:rsid w:val="001E740B"/>
    <w:rsid w:val="001E7D66"/>
    <w:rsid w:val="002012F7"/>
    <w:rsid w:val="0020218D"/>
    <w:rsid w:val="00202696"/>
    <w:rsid w:val="00203459"/>
    <w:rsid w:val="00204AC1"/>
    <w:rsid w:val="00206694"/>
    <w:rsid w:val="00212777"/>
    <w:rsid w:val="00212877"/>
    <w:rsid w:val="00213983"/>
    <w:rsid w:val="0021484D"/>
    <w:rsid w:val="00215694"/>
    <w:rsid w:val="0022110B"/>
    <w:rsid w:val="002212F5"/>
    <w:rsid w:val="00224DEF"/>
    <w:rsid w:val="00234EC0"/>
    <w:rsid w:val="002360CD"/>
    <w:rsid w:val="00236600"/>
    <w:rsid w:val="00237D43"/>
    <w:rsid w:val="002459A5"/>
    <w:rsid w:val="002461F8"/>
    <w:rsid w:val="00246B64"/>
    <w:rsid w:val="00247BAE"/>
    <w:rsid w:val="00257688"/>
    <w:rsid w:val="00260409"/>
    <w:rsid w:val="00263E9E"/>
    <w:rsid w:val="002644C4"/>
    <w:rsid w:val="002666D5"/>
    <w:rsid w:val="00271415"/>
    <w:rsid w:val="00281F9B"/>
    <w:rsid w:val="00282947"/>
    <w:rsid w:val="00291622"/>
    <w:rsid w:val="00295EC7"/>
    <w:rsid w:val="00296A5F"/>
    <w:rsid w:val="002B5E11"/>
    <w:rsid w:val="002B72F1"/>
    <w:rsid w:val="002C5803"/>
    <w:rsid w:val="002C60A5"/>
    <w:rsid w:val="002C6690"/>
    <w:rsid w:val="002C6EFD"/>
    <w:rsid w:val="002D09A8"/>
    <w:rsid w:val="002D5134"/>
    <w:rsid w:val="002E6815"/>
    <w:rsid w:val="002F15E9"/>
    <w:rsid w:val="00300ED7"/>
    <w:rsid w:val="00301963"/>
    <w:rsid w:val="00303044"/>
    <w:rsid w:val="003030F3"/>
    <w:rsid w:val="00310012"/>
    <w:rsid w:val="003133D3"/>
    <w:rsid w:val="00317A38"/>
    <w:rsid w:val="00320DC9"/>
    <w:rsid w:val="003259C5"/>
    <w:rsid w:val="00326B97"/>
    <w:rsid w:val="00331E3C"/>
    <w:rsid w:val="003358BA"/>
    <w:rsid w:val="00335984"/>
    <w:rsid w:val="0033633C"/>
    <w:rsid w:val="003366C6"/>
    <w:rsid w:val="0033775C"/>
    <w:rsid w:val="0034017A"/>
    <w:rsid w:val="00341590"/>
    <w:rsid w:val="00344988"/>
    <w:rsid w:val="00345BF8"/>
    <w:rsid w:val="00346478"/>
    <w:rsid w:val="00347201"/>
    <w:rsid w:val="00351452"/>
    <w:rsid w:val="00351AA8"/>
    <w:rsid w:val="00353F42"/>
    <w:rsid w:val="00354017"/>
    <w:rsid w:val="0035487D"/>
    <w:rsid w:val="00355994"/>
    <w:rsid w:val="00355CAC"/>
    <w:rsid w:val="00367CAE"/>
    <w:rsid w:val="0037011B"/>
    <w:rsid w:val="003738EA"/>
    <w:rsid w:val="00376401"/>
    <w:rsid w:val="00376572"/>
    <w:rsid w:val="0038286D"/>
    <w:rsid w:val="00383025"/>
    <w:rsid w:val="003851CB"/>
    <w:rsid w:val="00390A6C"/>
    <w:rsid w:val="003939C7"/>
    <w:rsid w:val="003B5C9E"/>
    <w:rsid w:val="003B6591"/>
    <w:rsid w:val="003B72E8"/>
    <w:rsid w:val="003C07CD"/>
    <w:rsid w:val="003C0851"/>
    <w:rsid w:val="003C35C4"/>
    <w:rsid w:val="003C47F7"/>
    <w:rsid w:val="003C484C"/>
    <w:rsid w:val="003C6EA0"/>
    <w:rsid w:val="003C7ED3"/>
    <w:rsid w:val="003C7FE4"/>
    <w:rsid w:val="003D1793"/>
    <w:rsid w:val="003D37C0"/>
    <w:rsid w:val="003D59BC"/>
    <w:rsid w:val="003D7313"/>
    <w:rsid w:val="003D7594"/>
    <w:rsid w:val="003E552F"/>
    <w:rsid w:val="003E6072"/>
    <w:rsid w:val="003F0240"/>
    <w:rsid w:val="003F4303"/>
    <w:rsid w:val="00401C23"/>
    <w:rsid w:val="00402105"/>
    <w:rsid w:val="00410A9D"/>
    <w:rsid w:val="00410B8F"/>
    <w:rsid w:val="004124B2"/>
    <w:rsid w:val="004130C9"/>
    <w:rsid w:val="00421812"/>
    <w:rsid w:val="004224A9"/>
    <w:rsid w:val="00423808"/>
    <w:rsid w:val="004301E7"/>
    <w:rsid w:val="00430B58"/>
    <w:rsid w:val="004362B0"/>
    <w:rsid w:val="00443E01"/>
    <w:rsid w:val="00443FD5"/>
    <w:rsid w:val="00444F8B"/>
    <w:rsid w:val="00447659"/>
    <w:rsid w:val="004543DF"/>
    <w:rsid w:val="00456C18"/>
    <w:rsid w:val="00457197"/>
    <w:rsid w:val="004630F7"/>
    <w:rsid w:val="004640F5"/>
    <w:rsid w:val="00466328"/>
    <w:rsid w:val="0047601B"/>
    <w:rsid w:val="004764B5"/>
    <w:rsid w:val="00477CBF"/>
    <w:rsid w:val="00481394"/>
    <w:rsid w:val="00484DEC"/>
    <w:rsid w:val="004851FC"/>
    <w:rsid w:val="00485E02"/>
    <w:rsid w:val="0048617F"/>
    <w:rsid w:val="00487C55"/>
    <w:rsid w:val="00490421"/>
    <w:rsid w:val="0049224C"/>
    <w:rsid w:val="0049616A"/>
    <w:rsid w:val="00496E96"/>
    <w:rsid w:val="004A19B4"/>
    <w:rsid w:val="004A41E0"/>
    <w:rsid w:val="004A470F"/>
    <w:rsid w:val="004B0EF6"/>
    <w:rsid w:val="004B2602"/>
    <w:rsid w:val="004B68A8"/>
    <w:rsid w:val="004C47FC"/>
    <w:rsid w:val="004C687F"/>
    <w:rsid w:val="004D5454"/>
    <w:rsid w:val="004D7781"/>
    <w:rsid w:val="004F07D8"/>
    <w:rsid w:val="004F10AC"/>
    <w:rsid w:val="004F4945"/>
    <w:rsid w:val="0050118E"/>
    <w:rsid w:val="00501B8D"/>
    <w:rsid w:val="00506F8C"/>
    <w:rsid w:val="00512216"/>
    <w:rsid w:val="00514FA0"/>
    <w:rsid w:val="00516575"/>
    <w:rsid w:val="00521729"/>
    <w:rsid w:val="00523944"/>
    <w:rsid w:val="00530536"/>
    <w:rsid w:val="00534634"/>
    <w:rsid w:val="00540433"/>
    <w:rsid w:val="005550EB"/>
    <w:rsid w:val="00556510"/>
    <w:rsid w:val="00560824"/>
    <w:rsid w:val="00561485"/>
    <w:rsid w:val="0057007D"/>
    <w:rsid w:val="00572316"/>
    <w:rsid w:val="005760AC"/>
    <w:rsid w:val="0057754B"/>
    <w:rsid w:val="00580E09"/>
    <w:rsid w:val="00583C3A"/>
    <w:rsid w:val="0058481A"/>
    <w:rsid w:val="00586BE8"/>
    <w:rsid w:val="005914C7"/>
    <w:rsid w:val="005925B1"/>
    <w:rsid w:val="005947D2"/>
    <w:rsid w:val="00596C12"/>
    <w:rsid w:val="005A151F"/>
    <w:rsid w:val="005A76BE"/>
    <w:rsid w:val="005B2E38"/>
    <w:rsid w:val="005B2E77"/>
    <w:rsid w:val="005B6B7C"/>
    <w:rsid w:val="005C0ADF"/>
    <w:rsid w:val="005C3286"/>
    <w:rsid w:val="005D1F3B"/>
    <w:rsid w:val="005D4A66"/>
    <w:rsid w:val="005D5047"/>
    <w:rsid w:val="005D5657"/>
    <w:rsid w:val="005E7CD2"/>
    <w:rsid w:val="005F15F8"/>
    <w:rsid w:val="005F2696"/>
    <w:rsid w:val="005F414E"/>
    <w:rsid w:val="005F630B"/>
    <w:rsid w:val="00602686"/>
    <w:rsid w:val="006029E2"/>
    <w:rsid w:val="0061157D"/>
    <w:rsid w:val="00620BD0"/>
    <w:rsid w:val="00620E3D"/>
    <w:rsid w:val="006229BB"/>
    <w:rsid w:val="00626B02"/>
    <w:rsid w:val="00630A1A"/>
    <w:rsid w:val="0063320D"/>
    <w:rsid w:val="006366C9"/>
    <w:rsid w:val="00640E11"/>
    <w:rsid w:val="006441B7"/>
    <w:rsid w:val="0065071D"/>
    <w:rsid w:val="006539BF"/>
    <w:rsid w:val="006551C9"/>
    <w:rsid w:val="006604A1"/>
    <w:rsid w:val="006665D2"/>
    <w:rsid w:val="00667ADC"/>
    <w:rsid w:val="0067132C"/>
    <w:rsid w:val="00671919"/>
    <w:rsid w:val="00672640"/>
    <w:rsid w:val="00680707"/>
    <w:rsid w:val="006813B7"/>
    <w:rsid w:val="00683666"/>
    <w:rsid w:val="006872E0"/>
    <w:rsid w:val="00695C74"/>
    <w:rsid w:val="006A1173"/>
    <w:rsid w:val="006A5406"/>
    <w:rsid w:val="006A55D6"/>
    <w:rsid w:val="006A6B73"/>
    <w:rsid w:val="006B385C"/>
    <w:rsid w:val="006B4D5A"/>
    <w:rsid w:val="006C0B8E"/>
    <w:rsid w:val="006C1F76"/>
    <w:rsid w:val="006D71E2"/>
    <w:rsid w:val="006E722E"/>
    <w:rsid w:val="006F1423"/>
    <w:rsid w:val="006F1D54"/>
    <w:rsid w:val="006F65CB"/>
    <w:rsid w:val="00701C07"/>
    <w:rsid w:val="00704E75"/>
    <w:rsid w:val="007112CB"/>
    <w:rsid w:val="007119AB"/>
    <w:rsid w:val="00712BE0"/>
    <w:rsid w:val="0071546A"/>
    <w:rsid w:val="007155EC"/>
    <w:rsid w:val="00715C17"/>
    <w:rsid w:val="007217AB"/>
    <w:rsid w:val="00727023"/>
    <w:rsid w:val="00734AB1"/>
    <w:rsid w:val="00735BC6"/>
    <w:rsid w:val="00736BCF"/>
    <w:rsid w:val="0074402B"/>
    <w:rsid w:val="0074532C"/>
    <w:rsid w:val="007538B3"/>
    <w:rsid w:val="00754596"/>
    <w:rsid w:val="007551B1"/>
    <w:rsid w:val="0075603C"/>
    <w:rsid w:val="00757695"/>
    <w:rsid w:val="00763B03"/>
    <w:rsid w:val="0076499D"/>
    <w:rsid w:val="00774B4E"/>
    <w:rsid w:val="007800CE"/>
    <w:rsid w:val="00782C92"/>
    <w:rsid w:val="00785D04"/>
    <w:rsid w:val="00791CC4"/>
    <w:rsid w:val="007B2338"/>
    <w:rsid w:val="007B4377"/>
    <w:rsid w:val="007B4EB1"/>
    <w:rsid w:val="007B7DB9"/>
    <w:rsid w:val="007C3351"/>
    <w:rsid w:val="007C6014"/>
    <w:rsid w:val="007D0B9F"/>
    <w:rsid w:val="007D2633"/>
    <w:rsid w:val="007D530D"/>
    <w:rsid w:val="007D7FD0"/>
    <w:rsid w:val="007E13E3"/>
    <w:rsid w:val="007E1A29"/>
    <w:rsid w:val="007E1D29"/>
    <w:rsid w:val="007E22E1"/>
    <w:rsid w:val="007F5FAC"/>
    <w:rsid w:val="007F6E07"/>
    <w:rsid w:val="00802F0A"/>
    <w:rsid w:val="0081156D"/>
    <w:rsid w:val="00812ADD"/>
    <w:rsid w:val="00815186"/>
    <w:rsid w:val="00815969"/>
    <w:rsid w:val="008177A9"/>
    <w:rsid w:val="0082142E"/>
    <w:rsid w:val="00824FE7"/>
    <w:rsid w:val="00825097"/>
    <w:rsid w:val="00825488"/>
    <w:rsid w:val="008319C6"/>
    <w:rsid w:val="00841A92"/>
    <w:rsid w:val="00845E42"/>
    <w:rsid w:val="0085325E"/>
    <w:rsid w:val="008575B1"/>
    <w:rsid w:val="008612B0"/>
    <w:rsid w:val="0086160E"/>
    <w:rsid w:val="00861B9E"/>
    <w:rsid w:val="00873385"/>
    <w:rsid w:val="00873F98"/>
    <w:rsid w:val="0088282E"/>
    <w:rsid w:val="00883A0F"/>
    <w:rsid w:val="008854FB"/>
    <w:rsid w:val="0088553A"/>
    <w:rsid w:val="00886019"/>
    <w:rsid w:val="00890370"/>
    <w:rsid w:val="00893DE0"/>
    <w:rsid w:val="00896C4A"/>
    <w:rsid w:val="008A543E"/>
    <w:rsid w:val="008A594A"/>
    <w:rsid w:val="008A6739"/>
    <w:rsid w:val="008B3AA3"/>
    <w:rsid w:val="008B410D"/>
    <w:rsid w:val="008B514C"/>
    <w:rsid w:val="008B6A5D"/>
    <w:rsid w:val="008B6C71"/>
    <w:rsid w:val="008C0652"/>
    <w:rsid w:val="008C19B3"/>
    <w:rsid w:val="008C2179"/>
    <w:rsid w:val="008C7388"/>
    <w:rsid w:val="008C766E"/>
    <w:rsid w:val="008D0771"/>
    <w:rsid w:val="008D6AF4"/>
    <w:rsid w:val="008D75E9"/>
    <w:rsid w:val="008F362E"/>
    <w:rsid w:val="008F3B85"/>
    <w:rsid w:val="008F482E"/>
    <w:rsid w:val="008F6EAE"/>
    <w:rsid w:val="008F7210"/>
    <w:rsid w:val="008F7285"/>
    <w:rsid w:val="00906E2E"/>
    <w:rsid w:val="009119B6"/>
    <w:rsid w:val="00921133"/>
    <w:rsid w:val="00924D9F"/>
    <w:rsid w:val="00925193"/>
    <w:rsid w:val="00925336"/>
    <w:rsid w:val="009270FD"/>
    <w:rsid w:val="0093151B"/>
    <w:rsid w:val="00931AF5"/>
    <w:rsid w:val="00933C83"/>
    <w:rsid w:val="00935F96"/>
    <w:rsid w:val="00941CCC"/>
    <w:rsid w:val="009438B3"/>
    <w:rsid w:val="0094646E"/>
    <w:rsid w:val="00954BFF"/>
    <w:rsid w:val="00963FD3"/>
    <w:rsid w:val="009663C3"/>
    <w:rsid w:val="00970892"/>
    <w:rsid w:val="0097177D"/>
    <w:rsid w:val="00973E01"/>
    <w:rsid w:val="00976F8A"/>
    <w:rsid w:val="00984208"/>
    <w:rsid w:val="009868EE"/>
    <w:rsid w:val="00991CB9"/>
    <w:rsid w:val="009926E6"/>
    <w:rsid w:val="009A3EB8"/>
    <w:rsid w:val="009A4FD6"/>
    <w:rsid w:val="009A5238"/>
    <w:rsid w:val="009A601C"/>
    <w:rsid w:val="009A76CF"/>
    <w:rsid w:val="009B1766"/>
    <w:rsid w:val="009B1AE7"/>
    <w:rsid w:val="009B2555"/>
    <w:rsid w:val="009B5F6B"/>
    <w:rsid w:val="009C2D66"/>
    <w:rsid w:val="009C63CC"/>
    <w:rsid w:val="009D06FF"/>
    <w:rsid w:val="009D0931"/>
    <w:rsid w:val="009D221A"/>
    <w:rsid w:val="009D47A8"/>
    <w:rsid w:val="009D4932"/>
    <w:rsid w:val="009D6A7A"/>
    <w:rsid w:val="009D72D5"/>
    <w:rsid w:val="009E5F48"/>
    <w:rsid w:val="009F2478"/>
    <w:rsid w:val="009F3115"/>
    <w:rsid w:val="009F3572"/>
    <w:rsid w:val="00A05D71"/>
    <w:rsid w:val="00A07C04"/>
    <w:rsid w:val="00A13015"/>
    <w:rsid w:val="00A15470"/>
    <w:rsid w:val="00A157C9"/>
    <w:rsid w:val="00A200CD"/>
    <w:rsid w:val="00A217BC"/>
    <w:rsid w:val="00A2223C"/>
    <w:rsid w:val="00A23061"/>
    <w:rsid w:val="00A250BD"/>
    <w:rsid w:val="00A34070"/>
    <w:rsid w:val="00A36E7F"/>
    <w:rsid w:val="00A4168C"/>
    <w:rsid w:val="00A43EAB"/>
    <w:rsid w:val="00A45A46"/>
    <w:rsid w:val="00A50D13"/>
    <w:rsid w:val="00A52B8D"/>
    <w:rsid w:val="00A73965"/>
    <w:rsid w:val="00A77F0A"/>
    <w:rsid w:val="00A93DDF"/>
    <w:rsid w:val="00A963C3"/>
    <w:rsid w:val="00A96A8A"/>
    <w:rsid w:val="00A97760"/>
    <w:rsid w:val="00AC70C9"/>
    <w:rsid w:val="00AD340B"/>
    <w:rsid w:val="00AD595D"/>
    <w:rsid w:val="00AD7BE0"/>
    <w:rsid w:val="00AE0529"/>
    <w:rsid w:val="00AE1D19"/>
    <w:rsid w:val="00AE461D"/>
    <w:rsid w:val="00AE5D51"/>
    <w:rsid w:val="00AF04CB"/>
    <w:rsid w:val="00AF6178"/>
    <w:rsid w:val="00B137F2"/>
    <w:rsid w:val="00B13F7E"/>
    <w:rsid w:val="00B14C5B"/>
    <w:rsid w:val="00B15B3B"/>
    <w:rsid w:val="00B179FC"/>
    <w:rsid w:val="00B21C3F"/>
    <w:rsid w:val="00B2447F"/>
    <w:rsid w:val="00B24A7C"/>
    <w:rsid w:val="00B26ADD"/>
    <w:rsid w:val="00B30B1E"/>
    <w:rsid w:val="00B31016"/>
    <w:rsid w:val="00B31ACA"/>
    <w:rsid w:val="00B31BE9"/>
    <w:rsid w:val="00B36372"/>
    <w:rsid w:val="00B36BC9"/>
    <w:rsid w:val="00B403C1"/>
    <w:rsid w:val="00B40E5A"/>
    <w:rsid w:val="00B42BF5"/>
    <w:rsid w:val="00B4413E"/>
    <w:rsid w:val="00B44E64"/>
    <w:rsid w:val="00B47609"/>
    <w:rsid w:val="00B54668"/>
    <w:rsid w:val="00B5504E"/>
    <w:rsid w:val="00B62FF5"/>
    <w:rsid w:val="00B64184"/>
    <w:rsid w:val="00B649CD"/>
    <w:rsid w:val="00B71D0C"/>
    <w:rsid w:val="00B73116"/>
    <w:rsid w:val="00B73500"/>
    <w:rsid w:val="00B75FE0"/>
    <w:rsid w:val="00B83295"/>
    <w:rsid w:val="00B86679"/>
    <w:rsid w:val="00B90E59"/>
    <w:rsid w:val="00B94AAD"/>
    <w:rsid w:val="00BA0B2E"/>
    <w:rsid w:val="00BA124E"/>
    <w:rsid w:val="00BA5403"/>
    <w:rsid w:val="00BA5A2C"/>
    <w:rsid w:val="00BA7195"/>
    <w:rsid w:val="00BB0B92"/>
    <w:rsid w:val="00BB6687"/>
    <w:rsid w:val="00BC234C"/>
    <w:rsid w:val="00BC3F7B"/>
    <w:rsid w:val="00BD5F66"/>
    <w:rsid w:val="00BE24ED"/>
    <w:rsid w:val="00BF394C"/>
    <w:rsid w:val="00BF5E59"/>
    <w:rsid w:val="00BF72F6"/>
    <w:rsid w:val="00C03728"/>
    <w:rsid w:val="00C04C3A"/>
    <w:rsid w:val="00C05783"/>
    <w:rsid w:val="00C079A2"/>
    <w:rsid w:val="00C232AC"/>
    <w:rsid w:val="00C277FC"/>
    <w:rsid w:val="00C30CA3"/>
    <w:rsid w:val="00C363E5"/>
    <w:rsid w:val="00C37ABA"/>
    <w:rsid w:val="00C37FF6"/>
    <w:rsid w:val="00C4522A"/>
    <w:rsid w:val="00C523EF"/>
    <w:rsid w:val="00C52D84"/>
    <w:rsid w:val="00C53C87"/>
    <w:rsid w:val="00C558E0"/>
    <w:rsid w:val="00C57D0F"/>
    <w:rsid w:val="00C6717B"/>
    <w:rsid w:val="00C726B0"/>
    <w:rsid w:val="00C733DB"/>
    <w:rsid w:val="00C73B61"/>
    <w:rsid w:val="00C77A20"/>
    <w:rsid w:val="00C8047C"/>
    <w:rsid w:val="00C804AD"/>
    <w:rsid w:val="00C81C78"/>
    <w:rsid w:val="00C82065"/>
    <w:rsid w:val="00C822F2"/>
    <w:rsid w:val="00C8458F"/>
    <w:rsid w:val="00C8729C"/>
    <w:rsid w:val="00C9178B"/>
    <w:rsid w:val="00C9360E"/>
    <w:rsid w:val="00CA493F"/>
    <w:rsid w:val="00CA508F"/>
    <w:rsid w:val="00CB0674"/>
    <w:rsid w:val="00CB17D4"/>
    <w:rsid w:val="00CB337A"/>
    <w:rsid w:val="00CB3894"/>
    <w:rsid w:val="00CB6333"/>
    <w:rsid w:val="00CC0B2F"/>
    <w:rsid w:val="00CD0096"/>
    <w:rsid w:val="00CD05D4"/>
    <w:rsid w:val="00CD7140"/>
    <w:rsid w:val="00CD7893"/>
    <w:rsid w:val="00CE2396"/>
    <w:rsid w:val="00CE4096"/>
    <w:rsid w:val="00CE75BD"/>
    <w:rsid w:val="00CF2739"/>
    <w:rsid w:val="00CF7AD4"/>
    <w:rsid w:val="00CF7C25"/>
    <w:rsid w:val="00CF7F6A"/>
    <w:rsid w:val="00D11AC4"/>
    <w:rsid w:val="00D13E81"/>
    <w:rsid w:val="00D1510B"/>
    <w:rsid w:val="00D16F08"/>
    <w:rsid w:val="00D237F2"/>
    <w:rsid w:val="00D23D69"/>
    <w:rsid w:val="00D23FE4"/>
    <w:rsid w:val="00D24EDD"/>
    <w:rsid w:val="00D24F79"/>
    <w:rsid w:val="00D25B12"/>
    <w:rsid w:val="00D32AFB"/>
    <w:rsid w:val="00D3392D"/>
    <w:rsid w:val="00D33F51"/>
    <w:rsid w:val="00D41EB5"/>
    <w:rsid w:val="00D44A94"/>
    <w:rsid w:val="00D475EC"/>
    <w:rsid w:val="00D47D50"/>
    <w:rsid w:val="00D519BB"/>
    <w:rsid w:val="00D51D36"/>
    <w:rsid w:val="00D52656"/>
    <w:rsid w:val="00D54C6C"/>
    <w:rsid w:val="00D633A5"/>
    <w:rsid w:val="00D64011"/>
    <w:rsid w:val="00D642A3"/>
    <w:rsid w:val="00D71778"/>
    <w:rsid w:val="00D82450"/>
    <w:rsid w:val="00D84288"/>
    <w:rsid w:val="00D87D3D"/>
    <w:rsid w:val="00D926B6"/>
    <w:rsid w:val="00D95D56"/>
    <w:rsid w:val="00DA26B9"/>
    <w:rsid w:val="00DA2B9D"/>
    <w:rsid w:val="00DA7AC7"/>
    <w:rsid w:val="00DB2DDA"/>
    <w:rsid w:val="00DB38EC"/>
    <w:rsid w:val="00DB4DD1"/>
    <w:rsid w:val="00DC2F20"/>
    <w:rsid w:val="00DC5F51"/>
    <w:rsid w:val="00DD02EF"/>
    <w:rsid w:val="00DD3FAD"/>
    <w:rsid w:val="00DD7A86"/>
    <w:rsid w:val="00DE0F56"/>
    <w:rsid w:val="00DE2A51"/>
    <w:rsid w:val="00DE4D3D"/>
    <w:rsid w:val="00DF314C"/>
    <w:rsid w:val="00DF34DD"/>
    <w:rsid w:val="00DF72CF"/>
    <w:rsid w:val="00E029FB"/>
    <w:rsid w:val="00E0345D"/>
    <w:rsid w:val="00E04721"/>
    <w:rsid w:val="00E0561F"/>
    <w:rsid w:val="00E067D2"/>
    <w:rsid w:val="00E1318E"/>
    <w:rsid w:val="00E13C17"/>
    <w:rsid w:val="00E30A90"/>
    <w:rsid w:val="00E434DF"/>
    <w:rsid w:val="00E5734A"/>
    <w:rsid w:val="00E578E4"/>
    <w:rsid w:val="00E63EB7"/>
    <w:rsid w:val="00E66CF3"/>
    <w:rsid w:val="00E70204"/>
    <w:rsid w:val="00E705CB"/>
    <w:rsid w:val="00E72C69"/>
    <w:rsid w:val="00E72C7E"/>
    <w:rsid w:val="00E72EB9"/>
    <w:rsid w:val="00E75FFD"/>
    <w:rsid w:val="00E80EB2"/>
    <w:rsid w:val="00E812FA"/>
    <w:rsid w:val="00E8227D"/>
    <w:rsid w:val="00E83553"/>
    <w:rsid w:val="00E83AF2"/>
    <w:rsid w:val="00E94542"/>
    <w:rsid w:val="00E959CC"/>
    <w:rsid w:val="00EA2E13"/>
    <w:rsid w:val="00EB0DC7"/>
    <w:rsid w:val="00EB4587"/>
    <w:rsid w:val="00EB58A4"/>
    <w:rsid w:val="00EB715A"/>
    <w:rsid w:val="00EC0D76"/>
    <w:rsid w:val="00EC7C81"/>
    <w:rsid w:val="00ED1A9F"/>
    <w:rsid w:val="00EE2A16"/>
    <w:rsid w:val="00EF061B"/>
    <w:rsid w:val="00EF444B"/>
    <w:rsid w:val="00F00BF4"/>
    <w:rsid w:val="00F032DD"/>
    <w:rsid w:val="00F04F72"/>
    <w:rsid w:val="00F06FDE"/>
    <w:rsid w:val="00F15BAC"/>
    <w:rsid w:val="00F16871"/>
    <w:rsid w:val="00F21D68"/>
    <w:rsid w:val="00F22171"/>
    <w:rsid w:val="00F225BF"/>
    <w:rsid w:val="00F24D56"/>
    <w:rsid w:val="00F25A92"/>
    <w:rsid w:val="00F260E8"/>
    <w:rsid w:val="00F26DDF"/>
    <w:rsid w:val="00F356B2"/>
    <w:rsid w:val="00F3751A"/>
    <w:rsid w:val="00F40610"/>
    <w:rsid w:val="00F431FC"/>
    <w:rsid w:val="00F471B2"/>
    <w:rsid w:val="00F506C6"/>
    <w:rsid w:val="00F5461F"/>
    <w:rsid w:val="00F55A9F"/>
    <w:rsid w:val="00F57A5C"/>
    <w:rsid w:val="00F60EC4"/>
    <w:rsid w:val="00F72715"/>
    <w:rsid w:val="00F738C8"/>
    <w:rsid w:val="00F73B94"/>
    <w:rsid w:val="00F75A00"/>
    <w:rsid w:val="00F77242"/>
    <w:rsid w:val="00F80310"/>
    <w:rsid w:val="00F829EA"/>
    <w:rsid w:val="00F83E0C"/>
    <w:rsid w:val="00F904AB"/>
    <w:rsid w:val="00F96433"/>
    <w:rsid w:val="00F96890"/>
    <w:rsid w:val="00FA0471"/>
    <w:rsid w:val="00FA315B"/>
    <w:rsid w:val="00FB1A1D"/>
    <w:rsid w:val="00FB52F1"/>
    <w:rsid w:val="00FB58CC"/>
    <w:rsid w:val="00FB6A25"/>
    <w:rsid w:val="00FB7329"/>
    <w:rsid w:val="00FC42B6"/>
    <w:rsid w:val="00FC469B"/>
    <w:rsid w:val="00FD546F"/>
    <w:rsid w:val="00FD5604"/>
    <w:rsid w:val="00FE2F57"/>
    <w:rsid w:val="00FE36D1"/>
    <w:rsid w:val="00FE45DA"/>
    <w:rsid w:val="00FF3370"/>
    <w:rsid w:val="00FF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45854"/>
  <w15:docId w15:val="{01CD1837-56C5-43B0-AAF0-08B7DB39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oppins" w:eastAsia="MS Mincho" w:hAnsi="Poppins" w:cs="Poppins"/>
        <w:sz w:val="24"/>
        <w:szCs w:val="24"/>
        <w:lang w:val="en-US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AA8"/>
    <w:pPr>
      <w:jc w:val="both"/>
    </w:p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rFonts w:ascii="Nunito Sans" w:eastAsia="Nunito Sans" w:hAnsi="Nunito Sans" w:cs="Nunito Sans"/>
      <w:b/>
      <w:color w:val="0D2C99"/>
      <w:sz w:val="60"/>
      <w:szCs w:val="60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rFonts w:ascii="Nunito Sans" w:eastAsia="Nunito Sans" w:hAnsi="Nunito Sans" w:cs="Nunito Sans"/>
      <w:b/>
      <w:color w:val="0D2C99"/>
      <w:sz w:val="48"/>
      <w:szCs w:val="48"/>
    </w:rPr>
  </w:style>
  <w:style w:type="paragraph" w:styleId="Heading3">
    <w:name w:val="heading 3"/>
    <w:basedOn w:val="Normal"/>
    <w:next w:val="Normal"/>
    <w:uiPriority w:val="9"/>
    <w:unhideWhenUsed/>
    <w:qFormat/>
    <w:pPr>
      <w:outlineLvl w:val="2"/>
    </w:pPr>
    <w:rPr>
      <w:rFonts w:ascii="Nunito Sans" w:eastAsia="Nunito Sans" w:hAnsi="Nunito Sans" w:cs="Nunito Sans"/>
      <w:b/>
      <w:color w:val="0D2C99"/>
      <w:sz w:val="42"/>
      <w:szCs w:val="42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rFonts w:ascii="Nunito Sans" w:eastAsia="Nunito Sans" w:hAnsi="Nunito Sans" w:cs="Nunito Sans"/>
      <w:b/>
      <w:color w:val="0D2C99"/>
      <w:sz w:val="36"/>
      <w:szCs w:val="36"/>
    </w:rPr>
  </w:style>
  <w:style w:type="paragraph" w:styleId="Heading5">
    <w:name w:val="heading 5"/>
    <w:basedOn w:val="Normal"/>
    <w:next w:val="Normal"/>
    <w:uiPriority w:val="9"/>
    <w:unhideWhenUsed/>
    <w:qFormat/>
    <w:pPr>
      <w:outlineLvl w:val="4"/>
    </w:pPr>
    <w:rPr>
      <w:rFonts w:ascii="Nunito Sans" w:eastAsia="Nunito Sans" w:hAnsi="Nunito Sans" w:cs="Nunito Sans"/>
      <w:b/>
      <w:color w:val="0D2C99"/>
      <w:sz w:val="32"/>
      <w:szCs w:val="32"/>
    </w:rPr>
  </w:style>
  <w:style w:type="paragraph" w:styleId="Heading6">
    <w:name w:val="heading 6"/>
    <w:basedOn w:val="Normal"/>
    <w:next w:val="Normal"/>
    <w:uiPriority w:val="9"/>
    <w:unhideWhenUsed/>
    <w:qFormat/>
    <w:pPr>
      <w:outlineLvl w:val="5"/>
    </w:pPr>
    <w:rPr>
      <w:rFonts w:ascii="Nunito Sans" w:eastAsia="Nunito Sans" w:hAnsi="Nunito Sans" w:cs="Nunito Sans"/>
      <w:b/>
      <w:color w:val="0D2C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0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1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2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3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4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5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6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7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8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9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a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b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c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d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e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0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1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2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3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4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5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6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7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8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9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a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b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c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d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e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0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1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2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3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4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5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6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7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8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9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paragraph" w:styleId="Header">
    <w:name w:val="header"/>
    <w:basedOn w:val="Normal"/>
    <w:link w:val="HeaderChar"/>
    <w:uiPriority w:val="99"/>
    <w:unhideWhenUsed/>
    <w:rsid w:val="009708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892"/>
  </w:style>
  <w:style w:type="paragraph" w:styleId="Footer">
    <w:name w:val="footer"/>
    <w:basedOn w:val="Normal"/>
    <w:link w:val="FooterChar"/>
    <w:uiPriority w:val="99"/>
    <w:unhideWhenUsed/>
    <w:rsid w:val="009708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892"/>
  </w:style>
  <w:style w:type="character" w:styleId="Hyperlink">
    <w:name w:val="Hyperlink"/>
    <w:basedOn w:val="DefaultParagraphFont"/>
    <w:uiPriority w:val="99"/>
    <w:unhideWhenUsed/>
    <w:rsid w:val="00963F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F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2880"/>
    <w:pPr>
      <w:ind w:left="720"/>
      <w:contextualSpacing/>
    </w:pPr>
  </w:style>
  <w:style w:type="table" w:styleId="TableGrid">
    <w:name w:val="Table Grid"/>
    <w:basedOn w:val="TableNormal"/>
    <w:uiPriority w:val="39"/>
    <w:rsid w:val="008F7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D6E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6E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6E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6E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6E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8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8E569-FFBE-42CE-97C1-4B4AD73F4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904</Words>
  <Characters>5159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FR-FOA1</dc:creator>
  <cp:lastModifiedBy>Charlie Walton</cp:lastModifiedBy>
  <cp:revision>153</cp:revision>
  <cp:lastPrinted>2023-03-25T12:14:00Z</cp:lastPrinted>
  <dcterms:created xsi:type="dcterms:W3CDTF">2024-06-10T01:52:00Z</dcterms:created>
  <dcterms:modified xsi:type="dcterms:W3CDTF">2024-06-12T20:24:00Z</dcterms:modified>
</cp:coreProperties>
</file>