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D78"/>
          <w:sz w:val="44"/>
        </w:rPr>
        <w:t>Распознавание PDF в PipeStone</w:t>
      </w:r>
    </w:p>
    <w:p>
      <w:pPr>
        <w:spacing w:after="140" w:line="269" w:lineRule="auto"/>
      </w:pPr>
      <w:r>
        <w:rPr>
          <w:rFonts w:ascii="Calibri" w:hAnsi="Calibri"/>
          <w:b w:val="0"/>
          <w:sz w:val="21"/>
        </w:rPr>
        <w:t>Сервис преобразует страницы PDF в изображения и применяет OCR, поиск легенды, штриховки и размерных обозначений, после чего рассчитывает площадь найденных элементов. В веб-режиме одновременно выполняется только один расчёт: при занятом сервере следующий запуск получает сообщение о необходимости повторить попытку. Такой режим снижает конкуренцию за CPU и RAM, но увеличивает ожидание при нескольких пользователях.</w:t>
      </w:r>
    </w:p>
    <w:p>
      <w:pPr>
        <w:spacing w:after="60" w:line="259" w:lineRule="auto"/>
      </w:pPr>
      <w:r>
        <w:rPr>
          <w:rFonts w:ascii="Calibri" w:hAnsi="Calibri"/>
          <w:b/>
          <w:color w:val="1F4D78"/>
          <w:sz w:val="20"/>
        </w:rPr>
        <w:t xml:space="preserve">Искомый текст. </w:t>
      </w:r>
      <w:r>
        <w:rPr>
          <w:rFonts w:ascii="Calibri" w:hAnsi="Calibri"/>
          <w:b w:val="0"/>
          <w:sz w:val="20"/>
        </w:rPr>
        <w:t>строка материала в легенде (например, «натуральный камень 30 мм»), марки элементов и числовые размеры у выносных линий.</w:t>
      </w:r>
    </w:p>
    <w:p>
      <w:pPr>
        <w:spacing w:after="60" w:line="259" w:lineRule="auto"/>
      </w:pPr>
      <w:r>
        <w:rPr>
          <w:rFonts w:ascii="Calibri" w:hAnsi="Calibri"/>
          <w:b/>
          <w:color w:val="1F4D78"/>
          <w:sz w:val="20"/>
        </w:rPr>
        <w:t xml:space="preserve">Этапы. </w:t>
      </w:r>
      <w:r>
        <w:rPr>
          <w:rFonts w:ascii="Calibri" w:hAnsi="Calibri"/>
          <w:b w:val="0"/>
          <w:sz w:val="20"/>
        </w:rPr>
        <w:t>поиск легенды → выделение образца штриховки → поиск нужных страниц → bounding boxes → OCR размеров → проверка масштаба → площадь и объединение бакетов.</w:t>
      </w:r>
    </w:p>
    <w:p>
      <w:pPr>
        <w:spacing w:after="60" w:line="259" w:lineRule="auto"/>
      </w:pPr>
      <w:r>
        <w:rPr>
          <w:rFonts w:ascii="Calibri" w:hAnsi="Calibri"/>
          <w:b/>
          <w:color w:val="1F4D78"/>
          <w:sz w:val="20"/>
        </w:rPr>
        <w:t xml:space="preserve">Типовые ошибки. </w:t>
      </w:r>
      <w:r>
        <w:rPr>
          <w:rFonts w:ascii="Calibri" w:hAnsi="Calibri"/>
          <w:b w:val="0"/>
          <w:sz w:val="20"/>
        </w:rPr>
        <w:t>OCR может выбрать соседний осевой размер, пропустить сегмент цепочки, принять стык 10 мм за часть размера или создать ложный bounds; при несовместимом масштабе площадь не рассчитывается.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7818120" cy="3686226"/>
            <wp:docPr id="1" name="Picture 1" descr="Проектный чертёж с цветными bounding boxes найденных фасадных элем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_el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368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5A626C"/>
          <w:sz w:val="18"/>
        </w:rPr>
        <w:t>Пример 1. Bounding boxes на странице 2 проектного PDF.</w:t>
      </w:r>
    </w:p>
    <w:p>
      <w:r>
        <w:br w:type="page"/>
      </w:r>
    </w:p>
    <w:p>
      <w:pPr>
        <w:pStyle w:val="Heading2"/>
        <w:spacing w:before="0" w:after="100"/>
      </w:pPr>
      <w:r>
        <w:t>Пример 2 — test_blue.pdf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3988023"/>
            <wp:docPr id="2" name="Picture 2" descr="Чертёж test_blue.pdf с bounding boxes вокруг синих элем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_ele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98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5A626C"/>
          <w:sz w:val="18"/>
        </w:rPr>
        <w:t>Синие элементы после коррекции распознавания штриховки и выбора размеров по масштабу.</w:t>
      </w:r>
    </w:p>
    <w:sectPr w:rsidR="00FC693F" w:rsidRPr="0006063C" w:rsidSect="00034616">
      <w:pgSz w:w="15840" w:h="12240" w:orient="landscape"/>
      <w:pgMar w:top="893" w:right="1008" w:bottom="893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Распознавание PDF в PipeStone</dc:title>
  <dc:subject>Краткое описание этапов OCR, однопоточного режима и типовых ошибок</dc:subject>
  <dc:creator>PipeStone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