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60"/>
        <w:jc w:val="start"/>
        <w:rPr>
          <w:lang w:val="es-ES" w:eastAsia="en-US" w:bidi="ar-SA"/>
        </w:rPr>
      </w:pPr>
      <w:r>
        <w:rPr>
          <w:b/>
          <w:lang w:val="es-ES" w:eastAsia="en-US" w:bidi="ar-SA"/>
        </w:rPr>
        <w:t>Rubrica d’avaluació.</w:t>
      </w:r>
    </w:p>
    <w:tbl>
      <w:tblPr>
        <w:tblStyle w:val="16"/>
        <w:tblW w:w="15428" w:type="dxa"/>
        <w:jc w:val="start"/>
        <w:tblInd w:w="5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"/>
        <w:gridCol w:w="1350"/>
        <w:gridCol w:w="3689"/>
        <w:gridCol w:w="3382"/>
        <w:gridCol w:w="3383"/>
        <w:gridCol w:w="3384"/>
      </w:tblGrid>
      <w:tr>
        <w:trPr>
          <w:trHeight w:val="96" w:hRule="atLeast"/>
          <w:cantSplit/>
        </w:trPr>
        <w:tc>
          <w:tcPr>
            <w:tcW w:w="1590" w:type="dxa"/>
            <w:gridSpan w:val="2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light1" w:val="FFFFFF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color w:themeColor="light1" w:val="FFFFFF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3689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  <w:lang w:val="es-ES" w:eastAsia="en-US" w:bidi="ar-SA"/>
              </w:rPr>
              <w:t>Ben assolit (4)</w:t>
            </w:r>
          </w:p>
        </w:tc>
        <w:tc>
          <w:tcPr>
            <w:tcW w:w="3382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  <w:lang w:val="es-ES" w:eastAsia="en-US" w:bidi="ar-SA"/>
              </w:rPr>
              <w:t>Suficienment Assolit  (3)</w:t>
            </w:r>
          </w:p>
        </w:tc>
        <w:tc>
          <w:tcPr>
            <w:tcW w:w="3383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  <w:lang w:val="es-ES" w:eastAsia="en-US" w:bidi="ar-SA"/>
              </w:rPr>
              <w:t>Insuficient assolit (2)</w:t>
            </w:r>
          </w:p>
        </w:tc>
        <w:tc>
          <w:tcPr>
            <w:tcW w:w="3384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  <w:lang w:val="es-ES" w:eastAsia="en-US" w:bidi="ar-SA"/>
              </w:rPr>
              <w:t>No assolit (1)</w:t>
            </w:r>
            <w:bookmarkStart w:id="0" w:name="_GoBack"/>
            <w:bookmarkEnd w:id="0"/>
          </w:p>
        </w:tc>
      </w:tr>
      <w:tr>
        <w:trPr>
          <w:trHeight w:val="850" w:hRule="atLeast"/>
        </w:trPr>
        <w:tc>
          <w:tcPr>
            <w:tcW w:w="240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start="0" w:end="113"/>
              <w:jc w:val="center"/>
              <w:rPr>
                <w:kern w:val="0"/>
                <w:lang w:val="es-ES" w:eastAsia="en-US" w:bidi="ar-SA"/>
              </w:rPr>
            </w:pPr>
            <w:r>
              <w:rPr>
                <w:kern w:val="0"/>
                <w:lang w:val="es-ES" w:eastAsia="en-US" w:bidi="ar-SA"/>
              </w:rPr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Context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 xml:space="preserve">Se delimita con precisión el marco institucional (Departamento de Educación de la Generalitat) y el origen de los datos (Portal de Datos Abiertos, &gt;1.1M de registros). Se incluye la definición rigurosa de 7 conceptos clave citados bibliográficamente, se identifican 4 limitaciones del sistema actual y se detalla la matriz con los 5 actores clave (stakeholders) y sus necesidades. 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</w:trPr>
        <w:tc>
          <w:tcPr>
            <w:tcW w:w="240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b/>
                <w:bCs/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s-ES" w:eastAsia="en-US" w:bidi="ar-SA"/>
              </w:rPr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Justificació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 xml:space="preserve">Se analiza la situación actual basada en el paradigma Data-Informed Decision Making (DIDM) y se justifican las decisiones técnicas mediante dos tablas comparativas completas: modelo relacional vs. dimensional (Kimball) y herramientas BI (Power BI vs. Tableau vs. Dash). Se fundamenta la elección del modelo en estrella y las 4 perspectivas del CMI. 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u w:val="none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u w:val="none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</w:trPr>
        <w:tc>
          <w:tcPr>
            <w:tcW w:w="240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center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s-ES" w:eastAsia="en-US" w:bidi="ar-SA"/>
              </w:rPr>
              <w:t>sssssssssssssssssssssss</w:t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Abast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 xml:space="preserve">Se define con claridad el objetivo general y 6 subobjetivos concretos. Se formalizan 6 requisitos funcionales (RF01–RF06), 4 no funcionales (RNF01–RNF04) y se incluye una matriz de gestión de riesgos con nivel de probabilidad, impacto y plan de mitigación para cada caso. 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</w:trPr>
        <w:tc>
          <w:tcPr>
            <w:tcW w:w="240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s-ES" w:eastAsia="en-US" w:bidi="ar-SA"/>
              </w:rPr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Metodologia i rigor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Se plantea una metodología híbrida que combina el marco ágil (Scrum) con el ciclo de vida dimensional de Kimball organizado en 5 sprints. Se especifican herramientas concretas para el control de versiones (Git), gestión de tareas (Trello/Kanban), redacción (LaTeX) y el plan de tutorías periódicas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</w:trPr>
        <w:tc>
          <w:tcPr>
            <w:tcW w:w="240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s-ES" w:eastAsia="en-US" w:bidi="ar-SA"/>
              </w:rPr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Referencies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Se han incorporado fuentes académicas y técnicas de referencia (Kimball, Kaplan &amp; Norton, Ferrari &amp; Russo, Schwaber &amp; Sutherland, entre otros) correctamente citadas a lo largo del texto mediante el estándar IEEE al final del documento.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</w:trPr>
        <w:tc>
          <w:tcPr>
            <w:tcW w:w="240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center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lang w:val="es-ES" w:eastAsia="en-US" w:bidi="ar-SA"/>
              </w:rPr>
              <w:t>Format</w:t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Organització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El documento sigue una estructura lógica e impecable basada en la normativa GEP de la FIB: portada institucional normalizada, índices automáticos (general, figuras y tablas), capítulos numerados jerárquicamente y separación clara entre secciones mediante tablas y listas.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</w:trPr>
        <w:tc>
          <w:tcPr>
            <w:tcW w:w="240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Claredat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El texto está redactado en un lenguaje académico formal, fluido y técnicamente preciso (dominio de términos como VertiPaq, DAX, OLAP, Star Schema, 3NF). No presenta ambigüedades y la maquetación en LaTeX garantiza una presentación visual profesional.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  <w:tr>
        <w:trPr>
          <w:trHeight w:val="850" w:hRule="atLeast"/>
          <w:cantSplit/>
        </w:trPr>
        <w:tc>
          <w:tcPr>
            <w:tcW w:w="240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13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kern w:val="0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  <w:lang w:val="es-ES" w:eastAsia="en-US" w:bidi="ar-SA"/>
              </w:rPr>
              <w:t>Redacció</w:t>
            </w:r>
          </w:p>
        </w:tc>
        <w:tc>
          <w:tcPr>
            <w:tcW w:w="368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Corrección escrita comprobada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  <w:tc>
          <w:tcPr>
            <w:tcW w:w="338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  <w:shd w:fill="FFFFFF" w:val="clear"/>
                <w:lang w:val="es-ES" w:eastAsia="en-US" w:bidi="ar-SA"/>
              </w:rPr>
            </w:r>
          </w:p>
        </w:tc>
      </w:tr>
    </w:tbl>
    <w:p>
      <w:pPr>
        <w:pStyle w:val="Normal"/>
        <w:bidi w:val="0"/>
        <w:spacing w:before="0" w:after="200"/>
        <w:jc w:val="start"/>
        <w:rPr>
          <w:b/>
          <w:sz w:val="28"/>
          <w:szCs w:val="28"/>
          <w:lang w:val="es-ES" w:eastAsia="en-US" w:bidi="ar-SA"/>
        </w:rPr>
      </w:pPr>
      <w:r>
        <w:rPr>
          <w:b/>
          <w:sz w:val="28"/>
          <w:szCs w:val="28"/>
          <w:lang w:val="es-ES" w:eastAsia="en-US" w:bidi="ar-SA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720" w:right="720" w:gutter="0" w:header="709" w:top="76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Garamond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40" w:before="0" w:after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start"/>
      <w:rPr/>
    </w:pPr>
    <w: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7877810</wp:posOffset>
          </wp:positionH>
          <wp:positionV relativeFrom="paragraph">
            <wp:posOffset>8255</wp:posOffset>
          </wp:positionV>
          <wp:extent cx="981710" cy="374650"/>
          <wp:effectExtent l="0" t="0" r="0" b="0"/>
          <wp:wrapTight wrapText="bothSides">
            <wp:wrapPolygon edited="0">
              <wp:start x="-2" y="0"/>
              <wp:lineTo x="-2" y="20876"/>
              <wp:lineTo x="21374" y="20876"/>
              <wp:lineTo x="21374" y="0"/>
              <wp:lineTo x="-2" y="0"/>
            </wp:wrapPolygon>
          </wp:wrapTight>
          <wp:docPr id="1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start"/>
      <w:rPr>
        <w:b/>
      </w:rPr>
    </w:pPr>
    <w:r>
      <w:rPr>
        <w:b/>
        <w:lang w:val="en-US"/>
      </w:rPr>
      <w:t>Lliurament</w:t>
    </w:r>
    <w:r>
      <w:rPr>
        <w:b/>
      </w:rPr>
      <w:t xml:space="preserve"> 1</w:t>
    </w:r>
    <w:r>
      <w:rPr>
        <w:b/>
        <w:lang w:val="en-US"/>
      </w:rPr>
      <w:t>.</w:t>
    </w:r>
    <w:r>
      <w:rPr>
        <w:b/>
      </w:rPr>
      <w:t xml:space="preserve"> </w:t>
    </w:r>
    <w:r>
      <w:rPr>
        <w:b/>
        <w:lang w:val="en-US"/>
      </w:rPr>
      <w:t xml:space="preserve">Contextualització i </w:t>
    </w:r>
    <w:r>
      <w:rPr>
        <w:b/>
      </w:rPr>
      <w:t>Abast del projecte.</w:t>
      <w:tab/>
      <w:tab/>
      <w:tab/>
    </w:r>
    <w:r>
      <w:rPr>
        <w:b/>
      </w:rPr>
      <w:t>Kiara Rodríguez Uribe</w:t>
    </w:r>
  </w:p>
  <w:p>
    <w:pPr>
      <w:pStyle w:val="Header"/>
      <w:bidi w:val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start"/>
      <w:rPr/>
    </w:pPr>
    <w: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7877810</wp:posOffset>
          </wp:positionH>
          <wp:positionV relativeFrom="paragraph">
            <wp:posOffset>8255</wp:posOffset>
          </wp:positionV>
          <wp:extent cx="981710" cy="374650"/>
          <wp:effectExtent l="0" t="0" r="0" b="0"/>
          <wp:wrapTight wrapText="bothSides">
            <wp:wrapPolygon edited="0">
              <wp:start x="-2" y="0"/>
              <wp:lineTo x="-2" y="20876"/>
              <wp:lineTo x="21374" y="20876"/>
              <wp:lineTo x="21374" y="0"/>
              <wp:lineTo x="-2" y="0"/>
            </wp:wrapPolygon>
          </wp:wrapTight>
          <wp:docPr id="2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start"/>
      <w:rPr>
        <w:b/>
      </w:rPr>
    </w:pPr>
    <w:r>
      <w:rPr>
        <w:b/>
        <w:lang w:val="en-US"/>
      </w:rPr>
      <w:t>Lliurament</w:t>
    </w:r>
    <w:r>
      <w:rPr>
        <w:b/>
      </w:rPr>
      <w:t xml:space="preserve"> 1</w:t>
    </w:r>
    <w:r>
      <w:rPr>
        <w:b/>
        <w:lang w:val="en-US"/>
      </w:rPr>
      <w:t>.</w:t>
    </w:r>
    <w:r>
      <w:rPr>
        <w:b/>
      </w:rPr>
      <w:t xml:space="preserve"> </w:t>
    </w:r>
    <w:r>
      <w:rPr>
        <w:b/>
        <w:lang w:val="en-US"/>
      </w:rPr>
      <w:t xml:space="preserve">Contextualització i </w:t>
    </w:r>
    <w:r>
      <w:rPr>
        <w:b/>
      </w:rPr>
      <w:t>Abast del projecte.</w:t>
      <w:tab/>
      <w:tab/>
      <w:tab/>
    </w:r>
    <w:r>
      <w:rPr>
        <w:b/>
      </w:rPr>
      <w:t>Kiara Rodríguez Uribe</w:t>
    </w:r>
  </w:p>
  <w:p>
    <w:pPr>
      <w:pStyle w:val="Header"/>
      <w:bidi w:val="0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ca-E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ca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lineRule="auto" w:line="276" w:before="0" w:after="200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paragraph" w:styleId="Heading1">
    <w:name w:val="heading 1"/>
    <w:basedOn w:val="Normal"/>
    <w:next w:val="Normal"/>
    <w:link w:val="Ttulo1Car"/>
    <w:uiPriority w:val="0"/>
    <w:qFormat/>
    <w:pPr>
      <w:keepNext w:val="true"/>
      <w:suppressAutoHyphens w:val="true"/>
      <w:spacing w:lineRule="auto" w:line="336" w:before="480" w:after="480"/>
      <w:jc w:val="both"/>
      <w:outlineLvl w:val="0"/>
    </w:pPr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Ttulo1Car" w:customStyle="1">
    <w:name w:val="Título 1 Car"/>
    <w:basedOn w:val="DefaultParagraphFont"/>
    <w:uiPriority w:val="0"/>
    <w:qFormat/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Revisin1" w:customStyle="1">
    <w:name w:val="Revisión1"/>
    <w:uiPriority w:val="99"/>
    <w:semiHidden/>
    <w:qFormat/>
    <w:pPr>
      <w:widowControl w:val="false"/>
      <w:bidi w:val="0"/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ula amb quadrícula1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353</Words>
  <Characters>2085</Characters>
  <CharactersWithSpaces>2417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2015-12-31T02:20:00Z</dcterms:created>
  <dc:creator>Jasmina</dc:creator>
  <dc:description/>
  <dc:language>ca-ES</dc:language>
  <cp:lastModifiedBy/>
  <cp:lastPrinted>2026-09-21T11:47:32Z</cp:lastPrinted>
  <dcterms:modified xsi:type="dcterms:W3CDTF">2026-09-21T11:47:38Z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